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1A43B0">
      <w:pPr>
        <w:spacing w:after="100" w:afterAutospacing="1" w:line="400" w:lineRule="exact"/>
        <w:jc w:val="center"/>
        <w:rPr>
          <w:rFonts w:hint="eastAsia" w:ascii="宋体" w:hAnsi="宋体"/>
          <w:b/>
          <w:sz w:val="32"/>
          <w:szCs w:val="32"/>
        </w:rPr>
      </w:pPr>
      <w:bookmarkStart w:id="10" w:name="_GoBack"/>
      <w:bookmarkEnd w:id="10"/>
      <w:r>
        <w:rPr>
          <w:rFonts w:hint="eastAsia" w:ascii="宋体" w:hAnsi="宋体"/>
          <w:b/>
          <w:sz w:val="32"/>
          <w:szCs w:val="32"/>
        </w:rPr>
        <w:t>临床研究伦理审查申请/报告指南</w:t>
      </w:r>
    </w:p>
    <w:p w14:paraId="3FD0D12F">
      <w:pPr>
        <w:spacing w:line="400" w:lineRule="exact"/>
        <w:ind w:firstLine="420"/>
        <w:rPr>
          <w:rFonts w:hint="eastAsia" w:ascii="宋体" w:hAnsi="宋体"/>
          <w:sz w:val="24"/>
          <w:szCs w:val="24"/>
        </w:rPr>
      </w:pPr>
      <w:r>
        <w:rPr>
          <w:rFonts w:hint="eastAsia" w:ascii="宋体" w:hAnsi="宋体" w:cs="Arial"/>
          <w:kern w:val="0"/>
          <w:sz w:val="24"/>
          <w:szCs w:val="24"/>
        </w:rPr>
        <w:t>帮助主要研究者</w:t>
      </w:r>
      <w:r>
        <w:rPr>
          <w:rFonts w:ascii="宋体" w:hAnsi="宋体" w:cs="Arial"/>
          <w:kern w:val="0"/>
          <w:sz w:val="24"/>
          <w:szCs w:val="24"/>
        </w:rPr>
        <w:t>/</w:t>
      </w:r>
      <w:r>
        <w:rPr>
          <w:rFonts w:hint="eastAsia" w:ascii="宋体" w:hAnsi="宋体" w:cs="Arial"/>
          <w:kern w:val="0"/>
          <w:sz w:val="24"/>
          <w:szCs w:val="24"/>
        </w:rPr>
        <w:t>申办者、课题负责人提交</w:t>
      </w:r>
      <w:bookmarkStart w:id="0" w:name="OLE_LINK7"/>
      <w:r>
        <w:rPr>
          <w:rFonts w:hint="eastAsia" w:ascii="宋体" w:hAnsi="宋体" w:cs="Arial"/>
          <w:kern w:val="0"/>
          <w:sz w:val="24"/>
          <w:szCs w:val="24"/>
        </w:rPr>
        <w:t>药品</w:t>
      </w:r>
      <w:r>
        <w:rPr>
          <w:rFonts w:ascii="宋体" w:hAnsi="宋体" w:cs="Arial"/>
          <w:kern w:val="0"/>
          <w:sz w:val="24"/>
          <w:szCs w:val="24"/>
        </w:rPr>
        <w:t>/</w:t>
      </w:r>
      <w:r>
        <w:rPr>
          <w:rFonts w:hint="eastAsia" w:ascii="宋体" w:hAnsi="宋体" w:cs="Arial"/>
          <w:kern w:val="0"/>
          <w:sz w:val="24"/>
          <w:szCs w:val="24"/>
        </w:rPr>
        <w:t>医疗器械临床试验项目</w:t>
      </w:r>
      <w:bookmarkEnd w:id="0"/>
      <w:r>
        <w:rPr>
          <w:rFonts w:hint="eastAsia" w:ascii="宋体" w:hAnsi="宋体" w:cs="Arial"/>
          <w:kern w:val="0"/>
          <w:sz w:val="24"/>
          <w:szCs w:val="24"/>
        </w:rPr>
        <w:t>、临床科研课题的伦理审查申请</w:t>
      </w:r>
      <w:r>
        <w:rPr>
          <w:rFonts w:ascii="宋体" w:hAnsi="宋体" w:cs="Arial"/>
          <w:kern w:val="0"/>
          <w:sz w:val="24"/>
          <w:szCs w:val="24"/>
        </w:rPr>
        <w:t>/</w:t>
      </w:r>
      <w:r>
        <w:rPr>
          <w:rFonts w:hint="eastAsia" w:ascii="宋体" w:hAnsi="宋体" w:cs="Arial"/>
          <w:kern w:val="0"/>
          <w:sz w:val="24"/>
          <w:szCs w:val="24"/>
        </w:rPr>
        <w:t>报告，制定本指南。</w:t>
      </w:r>
      <w:r>
        <w:rPr>
          <w:rFonts w:hint="eastAsia" w:ascii="宋体" w:hAnsi="宋体"/>
          <w:sz w:val="24"/>
          <w:szCs w:val="24"/>
        </w:rPr>
        <w:t xml:space="preserve"> </w:t>
      </w:r>
    </w:p>
    <w:p w14:paraId="03617251">
      <w:pPr>
        <w:spacing w:line="400" w:lineRule="exact"/>
        <w:ind w:firstLine="420"/>
        <w:rPr>
          <w:rFonts w:hint="eastAsia" w:ascii="宋体" w:hAnsi="宋体"/>
          <w:sz w:val="24"/>
          <w:szCs w:val="24"/>
        </w:rPr>
      </w:pPr>
    </w:p>
    <w:p w14:paraId="3B741BA3">
      <w:pPr>
        <w:spacing w:line="400" w:lineRule="exact"/>
        <w:rPr>
          <w:rFonts w:hint="eastAsia" w:ascii="宋体" w:hAnsi="宋体"/>
          <w:b/>
          <w:color w:val="000000"/>
          <w:sz w:val="24"/>
          <w:szCs w:val="24"/>
        </w:rPr>
      </w:pPr>
      <w:r>
        <w:rPr>
          <w:rFonts w:hint="eastAsia" w:ascii="宋体" w:hAnsi="宋体"/>
          <w:b/>
          <w:color w:val="000000"/>
          <w:sz w:val="24"/>
          <w:szCs w:val="24"/>
        </w:rPr>
        <w:t>一、伦理审查申请/报告：</w:t>
      </w:r>
    </w:p>
    <w:p w14:paraId="4EEA0271">
      <w:pPr>
        <w:spacing w:line="400" w:lineRule="exact"/>
        <w:rPr>
          <w:rFonts w:hint="eastAsia" w:ascii="宋体" w:hAnsi="宋体"/>
          <w:b/>
          <w:color w:val="000000"/>
          <w:sz w:val="24"/>
          <w:szCs w:val="24"/>
        </w:rPr>
      </w:pPr>
      <w:r>
        <w:rPr>
          <w:rFonts w:hint="eastAsia" w:ascii="宋体" w:hAnsi="宋体"/>
          <w:b/>
          <w:color w:val="000000"/>
          <w:sz w:val="24"/>
          <w:szCs w:val="24"/>
        </w:rPr>
        <w:t>1. 审查范围</w:t>
      </w:r>
    </w:p>
    <w:p w14:paraId="71C90E80">
      <w:pPr>
        <w:spacing w:line="400" w:lineRule="exact"/>
        <w:ind w:firstLine="420"/>
        <w:rPr>
          <w:rFonts w:hint="eastAsia" w:ascii="宋体" w:hAnsi="宋体" w:cs="宋体"/>
          <w:sz w:val="24"/>
          <w:szCs w:val="24"/>
        </w:rPr>
      </w:pPr>
      <w:r>
        <w:rPr>
          <w:rFonts w:ascii="宋体" w:hAnsi="宋体" w:cs="宋体"/>
          <w:spacing w:val="15"/>
          <w:kern w:val="0"/>
          <w:sz w:val="24"/>
          <w:szCs w:val="24"/>
        </w:rPr>
        <w:t>对本院即将实施或已经</w:t>
      </w:r>
      <w:r>
        <w:rPr>
          <w:rFonts w:hint="eastAsia" w:ascii="宋体" w:hAnsi="宋体" w:cs="宋体"/>
          <w:spacing w:val="15"/>
          <w:kern w:val="0"/>
          <w:sz w:val="24"/>
          <w:szCs w:val="24"/>
        </w:rPr>
        <w:t>实施、牵头负责或参与</w:t>
      </w:r>
      <w:r>
        <w:rPr>
          <w:rFonts w:ascii="宋体" w:hAnsi="宋体" w:cs="宋体"/>
          <w:spacing w:val="15"/>
          <w:kern w:val="0"/>
          <w:sz w:val="24"/>
          <w:szCs w:val="24"/>
        </w:rPr>
        <w:t>的</w:t>
      </w:r>
      <w:r>
        <w:rPr>
          <w:rFonts w:hint="eastAsia" w:ascii="宋体" w:hAnsi="宋体" w:cs="宋体"/>
          <w:spacing w:val="15"/>
          <w:kern w:val="0"/>
          <w:sz w:val="24"/>
          <w:szCs w:val="24"/>
        </w:rPr>
        <w:t>药品</w:t>
      </w:r>
      <w:r>
        <w:rPr>
          <w:rFonts w:ascii="宋体" w:hAnsi="宋体" w:cs="Arial"/>
          <w:kern w:val="0"/>
          <w:sz w:val="24"/>
          <w:szCs w:val="24"/>
        </w:rPr>
        <w:t>/</w:t>
      </w:r>
      <w:r>
        <w:rPr>
          <w:rFonts w:hint="eastAsia" w:ascii="宋体" w:hAnsi="宋体" w:cs="Arial"/>
          <w:kern w:val="0"/>
          <w:sz w:val="24"/>
          <w:szCs w:val="24"/>
        </w:rPr>
        <w:t>医疗器械</w:t>
      </w:r>
      <w:r>
        <w:rPr>
          <w:rFonts w:hint="eastAsia" w:ascii="宋体" w:hAnsi="宋体" w:cs="宋体"/>
          <w:spacing w:val="15"/>
          <w:kern w:val="0"/>
          <w:sz w:val="24"/>
          <w:szCs w:val="24"/>
        </w:rPr>
        <w:t>临床试验和涉及人的临床研究科研项目。</w:t>
      </w:r>
    </w:p>
    <w:p w14:paraId="06CEAE34">
      <w:pPr>
        <w:spacing w:line="400" w:lineRule="exact"/>
        <w:rPr>
          <w:rFonts w:hint="eastAsia" w:ascii="宋体" w:hAnsi="宋体"/>
          <w:b/>
          <w:sz w:val="24"/>
          <w:szCs w:val="24"/>
        </w:rPr>
      </w:pPr>
      <w:r>
        <w:rPr>
          <w:rFonts w:hint="eastAsia" w:ascii="宋体" w:hAnsi="宋体"/>
          <w:b/>
          <w:sz w:val="24"/>
          <w:szCs w:val="24"/>
        </w:rPr>
        <w:t>2．伦理审查申请/报告的类别</w:t>
      </w:r>
    </w:p>
    <w:p w14:paraId="03159C58">
      <w:pPr>
        <w:spacing w:line="400" w:lineRule="exact"/>
        <w:rPr>
          <w:rFonts w:hint="eastAsia" w:ascii="宋体" w:hAnsi="宋体"/>
          <w:sz w:val="24"/>
          <w:szCs w:val="24"/>
        </w:rPr>
      </w:pPr>
      <w:r>
        <w:rPr>
          <w:rFonts w:hint="eastAsia" w:ascii="宋体" w:hAnsi="宋体"/>
          <w:sz w:val="24"/>
          <w:szCs w:val="24"/>
        </w:rPr>
        <w:t>1）初始审查申请</w:t>
      </w:r>
    </w:p>
    <w:p w14:paraId="15C53595">
      <w:pPr>
        <w:numPr>
          <w:ilvl w:val="0"/>
          <w:numId w:val="1"/>
        </w:numPr>
        <w:spacing w:line="400" w:lineRule="exact"/>
        <w:rPr>
          <w:rFonts w:hint="eastAsia" w:ascii="宋体" w:hAnsi="宋体"/>
          <w:sz w:val="24"/>
          <w:szCs w:val="24"/>
        </w:rPr>
      </w:pPr>
      <w:r>
        <w:rPr>
          <w:rFonts w:hint="eastAsia" w:ascii="宋体" w:hAnsi="宋体"/>
          <w:kern w:val="0"/>
          <w:sz w:val="24"/>
          <w:szCs w:val="24"/>
        </w:rPr>
        <w:t>涉及人的生物医学</w:t>
      </w:r>
      <w:r>
        <w:rPr>
          <w:rFonts w:hint="eastAsia" w:ascii="宋体" w:hAnsi="宋体"/>
          <w:sz w:val="24"/>
          <w:szCs w:val="24"/>
        </w:rPr>
        <w:t>研究项目，应在研究开始前将方案等有关材料提请伦理审查，经批准后方可实施。“初始审查申请”是指首次向</w:t>
      </w:r>
      <w:r>
        <w:rPr>
          <w:rFonts w:hint="eastAsia" w:ascii="宋体" w:hAnsi="宋体"/>
          <w:sz w:val="24"/>
          <w:szCs w:val="24"/>
          <w:lang w:eastAsia="zh-CN"/>
        </w:rPr>
        <w:t>伦理审查委员会</w:t>
      </w:r>
      <w:r>
        <w:rPr>
          <w:rFonts w:hint="eastAsia" w:ascii="宋体" w:hAnsi="宋体"/>
          <w:sz w:val="24"/>
          <w:szCs w:val="24"/>
        </w:rPr>
        <w:t>提交的审查申请。</w:t>
      </w:r>
    </w:p>
    <w:p w14:paraId="6B1302C9">
      <w:pPr>
        <w:numPr>
          <w:ilvl w:val="0"/>
          <w:numId w:val="0"/>
        </w:numPr>
        <w:spacing w:line="400" w:lineRule="exact"/>
        <w:rPr>
          <w:rFonts w:hint="eastAsia" w:ascii="宋体" w:hAnsi="宋体"/>
          <w:sz w:val="24"/>
          <w:szCs w:val="24"/>
        </w:rPr>
      </w:pPr>
    </w:p>
    <w:p w14:paraId="0BA44F4B">
      <w:pPr>
        <w:numPr>
          <w:ilvl w:val="0"/>
          <w:numId w:val="2"/>
        </w:numPr>
        <w:spacing w:line="400" w:lineRule="exact"/>
        <w:rPr>
          <w:rFonts w:hint="eastAsia" w:ascii="宋体" w:hAnsi="宋体"/>
          <w:sz w:val="24"/>
          <w:szCs w:val="24"/>
        </w:rPr>
      </w:pPr>
      <w:r>
        <w:rPr>
          <w:rFonts w:hint="eastAsia" w:ascii="宋体" w:hAnsi="宋体"/>
          <w:sz w:val="24"/>
          <w:szCs w:val="24"/>
        </w:rPr>
        <w:t>复审申请</w:t>
      </w:r>
    </w:p>
    <w:p w14:paraId="24DB1C68">
      <w:pPr>
        <w:numPr>
          <w:ilvl w:val="1"/>
          <w:numId w:val="2"/>
        </w:numPr>
        <w:spacing w:line="400" w:lineRule="exact"/>
        <w:rPr>
          <w:rFonts w:hint="eastAsia" w:ascii="宋体" w:hAnsi="宋体"/>
          <w:sz w:val="24"/>
          <w:szCs w:val="24"/>
        </w:rPr>
      </w:pPr>
      <w:r>
        <w:rPr>
          <w:rFonts w:hint="eastAsia" w:ascii="宋体" w:hAnsi="宋体"/>
          <w:sz w:val="24"/>
          <w:szCs w:val="24"/>
        </w:rPr>
        <w:t>1）初始审查和跟踪审查后按伦理审查意见“</w:t>
      </w:r>
      <w:r>
        <w:rPr>
          <w:rFonts w:hint="eastAsia" w:ascii="宋体" w:hAnsi="宋体"/>
          <w:sz w:val="24"/>
          <w:szCs w:val="24"/>
          <w:lang w:val="en-US" w:eastAsia="zh-CN"/>
        </w:rPr>
        <w:t>修改后批准（</w:t>
      </w:r>
      <w:r>
        <w:rPr>
          <w:rFonts w:hint="eastAsia" w:ascii="宋体" w:hAnsi="宋体"/>
          <w:sz w:val="24"/>
          <w:szCs w:val="24"/>
        </w:rPr>
        <w:t>修正后同意</w:t>
      </w:r>
      <w:r>
        <w:rPr>
          <w:rFonts w:hint="eastAsia" w:ascii="宋体" w:hAnsi="宋体"/>
          <w:sz w:val="24"/>
          <w:szCs w:val="24"/>
          <w:lang w:eastAsia="zh-CN"/>
        </w:rPr>
        <w:t>）</w:t>
      </w:r>
      <w:r>
        <w:rPr>
          <w:rFonts w:hint="eastAsia" w:ascii="宋体" w:hAnsi="宋体"/>
          <w:sz w:val="24"/>
          <w:szCs w:val="24"/>
        </w:rPr>
        <w:t>” 的项目，应以“复审申请”的方式再次送审。</w:t>
      </w:r>
      <w:r>
        <w:rPr>
          <w:rFonts w:hint="eastAsia" w:ascii="宋体" w:hAnsi="宋体"/>
          <w:sz w:val="24"/>
          <w:szCs w:val="24"/>
          <w:lang w:eastAsia="zh-CN"/>
        </w:rPr>
        <w:t>伦理审查委员会</w:t>
      </w:r>
      <w:r>
        <w:rPr>
          <w:rFonts w:hint="eastAsia" w:ascii="宋体" w:hAnsi="宋体"/>
          <w:sz w:val="24"/>
          <w:szCs w:val="24"/>
        </w:rPr>
        <w:t>将采取快速审查的方式，进行审查；经</w:t>
      </w:r>
      <w:r>
        <w:rPr>
          <w:rFonts w:hint="eastAsia" w:ascii="宋体" w:hAnsi="宋体"/>
          <w:sz w:val="24"/>
          <w:szCs w:val="24"/>
          <w:lang w:eastAsia="zh-CN"/>
        </w:rPr>
        <w:t>伦理审查委员会</w:t>
      </w:r>
      <w:r>
        <w:rPr>
          <w:rFonts w:hint="eastAsia" w:ascii="宋体" w:hAnsi="宋体"/>
          <w:sz w:val="24"/>
          <w:szCs w:val="24"/>
        </w:rPr>
        <w:t>批准后方可实施；</w:t>
      </w:r>
    </w:p>
    <w:p w14:paraId="1C29DC74">
      <w:pPr>
        <w:numPr>
          <w:ilvl w:val="1"/>
          <w:numId w:val="2"/>
        </w:numPr>
        <w:spacing w:line="400" w:lineRule="exact"/>
        <w:rPr>
          <w:rFonts w:hint="eastAsia" w:ascii="宋体" w:hAnsi="宋体"/>
          <w:sz w:val="24"/>
          <w:szCs w:val="24"/>
        </w:rPr>
      </w:pPr>
      <w:r>
        <w:rPr>
          <w:rFonts w:hint="eastAsia" w:ascii="宋体" w:hAnsi="宋体"/>
          <w:sz w:val="24"/>
          <w:szCs w:val="24"/>
        </w:rPr>
        <w:t>2）初始审查和跟踪审查后按伦理审查意见“</w:t>
      </w:r>
      <w:r>
        <w:rPr>
          <w:rFonts w:hint="eastAsia" w:ascii="宋体" w:hAnsi="宋体"/>
          <w:sz w:val="24"/>
          <w:szCs w:val="24"/>
          <w:lang w:val="en-US" w:eastAsia="zh-CN"/>
        </w:rPr>
        <w:t>修改后再审</w:t>
      </w:r>
      <w:r>
        <w:rPr>
          <w:rFonts w:hint="eastAsia" w:ascii="宋体" w:hAnsi="宋体"/>
          <w:sz w:val="24"/>
          <w:szCs w:val="24"/>
          <w:lang w:eastAsia="zh-CN"/>
        </w:rPr>
        <w:t>（</w:t>
      </w:r>
      <w:r>
        <w:rPr>
          <w:rFonts w:hint="eastAsia" w:ascii="宋体" w:hAnsi="宋体"/>
          <w:sz w:val="24"/>
          <w:szCs w:val="24"/>
        </w:rPr>
        <w:t>修正后重审</w:t>
      </w:r>
      <w:r>
        <w:rPr>
          <w:rFonts w:hint="eastAsia" w:ascii="宋体" w:hAnsi="宋体"/>
          <w:sz w:val="24"/>
          <w:szCs w:val="24"/>
          <w:lang w:eastAsia="zh-CN"/>
        </w:rPr>
        <w:t>）</w:t>
      </w:r>
      <w:r>
        <w:rPr>
          <w:rFonts w:hint="eastAsia" w:ascii="宋体" w:hAnsi="宋体"/>
          <w:sz w:val="24"/>
          <w:szCs w:val="24"/>
        </w:rPr>
        <w:t>”的项目，应以“复审申请”的方式再次送审。</w:t>
      </w:r>
      <w:r>
        <w:rPr>
          <w:rFonts w:hint="eastAsia" w:ascii="宋体" w:hAnsi="宋体"/>
          <w:sz w:val="24"/>
          <w:szCs w:val="24"/>
          <w:lang w:eastAsia="zh-CN"/>
        </w:rPr>
        <w:t>伦理审查委员会</w:t>
      </w:r>
      <w:r>
        <w:rPr>
          <w:rFonts w:hint="eastAsia" w:ascii="宋体" w:hAnsi="宋体"/>
          <w:sz w:val="24"/>
          <w:szCs w:val="24"/>
        </w:rPr>
        <w:t>将在最近的一次伦理会上进行重审。经</w:t>
      </w:r>
      <w:r>
        <w:rPr>
          <w:rFonts w:hint="eastAsia" w:ascii="宋体" w:hAnsi="宋体"/>
          <w:sz w:val="24"/>
          <w:szCs w:val="24"/>
          <w:lang w:eastAsia="zh-CN"/>
        </w:rPr>
        <w:t>伦理审查委员会</w:t>
      </w:r>
      <w:r>
        <w:rPr>
          <w:rFonts w:hint="eastAsia" w:ascii="宋体" w:hAnsi="宋体"/>
          <w:sz w:val="24"/>
          <w:szCs w:val="24"/>
        </w:rPr>
        <w:t>批准后方可实施；</w:t>
      </w:r>
    </w:p>
    <w:p w14:paraId="12B209CC">
      <w:pPr>
        <w:numPr>
          <w:ilvl w:val="1"/>
          <w:numId w:val="2"/>
        </w:numPr>
        <w:spacing w:line="400" w:lineRule="exact"/>
        <w:rPr>
          <w:rFonts w:hint="eastAsia" w:ascii="宋体" w:hAnsi="宋体"/>
          <w:sz w:val="24"/>
          <w:szCs w:val="24"/>
        </w:rPr>
      </w:pPr>
      <w:r>
        <w:rPr>
          <w:rFonts w:hint="eastAsia" w:ascii="宋体" w:hAnsi="宋体"/>
          <w:sz w:val="24"/>
          <w:szCs w:val="24"/>
        </w:rPr>
        <w:t>3）如果对伦理审查意见有不同的看法，</w:t>
      </w:r>
      <w:r>
        <w:rPr>
          <w:rFonts w:hint="eastAsia" w:ascii="宋体" w:hAnsi="宋体"/>
          <w:sz w:val="24"/>
          <w:szCs w:val="24"/>
          <w:highlight w:val="cyan"/>
        </w:rPr>
        <w:t>也</w:t>
      </w:r>
      <w:r>
        <w:rPr>
          <w:rFonts w:hint="eastAsia" w:ascii="宋体" w:hAnsi="宋体"/>
          <w:sz w:val="24"/>
          <w:szCs w:val="24"/>
        </w:rPr>
        <w:t>可以“复审申请”的方式申诉不同意见，请</w:t>
      </w:r>
      <w:r>
        <w:rPr>
          <w:rFonts w:hint="eastAsia" w:ascii="宋体" w:hAnsi="宋体"/>
          <w:sz w:val="24"/>
          <w:szCs w:val="24"/>
          <w:lang w:eastAsia="zh-CN"/>
        </w:rPr>
        <w:t>伦理审查委员会</w:t>
      </w:r>
      <w:r>
        <w:rPr>
          <w:rFonts w:hint="eastAsia" w:ascii="宋体" w:hAnsi="宋体"/>
          <w:sz w:val="24"/>
          <w:szCs w:val="24"/>
        </w:rPr>
        <w:t xml:space="preserve">重新考虑决定。 </w:t>
      </w:r>
    </w:p>
    <w:p w14:paraId="26134C42">
      <w:pPr>
        <w:numPr>
          <w:ilvl w:val="0"/>
          <w:numId w:val="0"/>
        </w:numPr>
        <w:spacing w:line="400" w:lineRule="exact"/>
        <w:rPr>
          <w:rFonts w:hint="eastAsia" w:ascii="宋体" w:hAnsi="宋体"/>
          <w:sz w:val="24"/>
          <w:szCs w:val="24"/>
        </w:rPr>
      </w:pPr>
    </w:p>
    <w:p w14:paraId="0829F4CD">
      <w:pPr>
        <w:numPr>
          <w:ilvl w:val="0"/>
          <w:numId w:val="2"/>
        </w:numPr>
        <w:spacing w:line="400" w:lineRule="exact"/>
        <w:rPr>
          <w:rFonts w:hint="eastAsia" w:ascii="宋体" w:hAnsi="宋体"/>
          <w:sz w:val="24"/>
          <w:szCs w:val="24"/>
        </w:rPr>
      </w:pPr>
      <w:r>
        <w:rPr>
          <w:rFonts w:hint="eastAsia" w:ascii="宋体" w:hAnsi="宋体"/>
          <w:sz w:val="24"/>
          <w:szCs w:val="24"/>
        </w:rPr>
        <w:t>修正案审查申请</w:t>
      </w:r>
    </w:p>
    <w:p w14:paraId="0DF559EB">
      <w:pPr>
        <w:numPr>
          <w:ilvl w:val="0"/>
          <w:numId w:val="3"/>
        </w:numPr>
        <w:spacing w:line="400" w:lineRule="exact"/>
        <w:rPr>
          <w:rFonts w:hint="eastAsia" w:ascii="宋体" w:hAnsi="宋体"/>
          <w:sz w:val="24"/>
          <w:szCs w:val="24"/>
        </w:rPr>
      </w:pPr>
      <w:r>
        <w:rPr>
          <w:rFonts w:hint="eastAsia" w:ascii="宋体" w:hAnsi="宋体"/>
          <w:sz w:val="24"/>
          <w:szCs w:val="24"/>
        </w:rPr>
        <w:t>研究过程中若变更主要研究者，</w:t>
      </w:r>
      <w:r>
        <w:rPr>
          <w:rFonts w:hint="eastAsia" w:ascii="宋体" w:hAnsi="宋体" w:eastAsia="宋体" w:cs="Times New Roman"/>
          <w:sz w:val="24"/>
          <w:szCs w:val="24"/>
        </w:rPr>
        <w:t>对临床研究方案、知情同意书、招募材料、研究者手册等的任何修改</w:t>
      </w:r>
      <w:r>
        <w:rPr>
          <w:rFonts w:hint="eastAsia" w:ascii="宋体" w:hAnsi="宋体"/>
          <w:sz w:val="24"/>
          <w:szCs w:val="24"/>
        </w:rPr>
        <w:t>，应向</w:t>
      </w:r>
      <w:r>
        <w:rPr>
          <w:rFonts w:hint="eastAsia" w:ascii="宋体" w:hAnsi="宋体"/>
          <w:sz w:val="24"/>
          <w:szCs w:val="24"/>
          <w:lang w:eastAsia="zh-CN"/>
        </w:rPr>
        <w:t>伦理审查委员会</w:t>
      </w:r>
      <w:r>
        <w:rPr>
          <w:rFonts w:hint="eastAsia" w:ascii="宋体" w:hAnsi="宋体"/>
          <w:sz w:val="24"/>
          <w:szCs w:val="24"/>
        </w:rPr>
        <w:t>提交修正案审查申请，经批准后方可执行。为避免研究对</w:t>
      </w:r>
      <w:r>
        <w:rPr>
          <w:rFonts w:hint="eastAsia" w:ascii="宋体" w:hAnsi="宋体"/>
          <w:sz w:val="24"/>
          <w:szCs w:val="24"/>
          <w:lang w:eastAsia="zh-CN"/>
        </w:rPr>
        <w:t>研究参与者</w:t>
      </w:r>
      <w:r>
        <w:rPr>
          <w:rFonts w:hint="eastAsia" w:ascii="宋体" w:hAnsi="宋体"/>
          <w:sz w:val="24"/>
          <w:szCs w:val="24"/>
        </w:rPr>
        <w:t>的即刻危险，研究者可修改研究方案，并在</w:t>
      </w:r>
      <w:r>
        <w:rPr>
          <w:rFonts w:hint="eastAsia" w:ascii="宋体" w:hAnsi="宋体"/>
          <w:sz w:val="24"/>
          <w:szCs w:val="24"/>
          <w:lang w:eastAsia="zh-CN"/>
        </w:rPr>
        <w:t>伦理审查委员会</w:t>
      </w:r>
      <w:r>
        <w:rPr>
          <w:rFonts w:hint="eastAsia" w:ascii="宋体" w:hAnsi="宋体"/>
          <w:sz w:val="24"/>
          <w:szCs w:val="24"/>
        </w:rPr>
        <w:t>批准前实施，但事后应将修改研究方案的情况及原因，以“修正案审查申请”的方式及时提交</w:t>
      </w:r>
      <w:r>
        <w:rPr>
          <w:rFonts w:hint="eastAsia" w:ascii="宋体" w:hAnsi="宋体"/>
          <w:sz w:val="24"/>
          <w:szCs w:val="24"/>
          <w:lang w:eastAsia="zh-CN"/>
        </w:rPr>
        <w:t>伦理审查委员会</w:t>
      </w:r>
      <w:r>
        <w:rPr>
          <w:rFonts w:hint="eastAsia" w:ascii="宋体" w:hAnsi="宋体"/>
          <w:sz w:val="24"/>
          <w:szCs w:val="24"/>
        </w:rPr>
        <w:t>审查。</w:t>
      </w:r>
    </w:p>
    <w:p w14:paraId="46FB12D7">
      <w:pPr>
        <w:numPr>
          <w:ilvl w:val="0"/>
          <w:numId w:val="0"/>
        </w:numPr>
        <w:spacing w:line="400" w:lineRule="exact"/>
        <w:rPr>
          <w:rFonts w:hint="eastAsia" w:ascii="宋体" w:hAnsi="宋体"/>
          <w:sz w:val="24"/>
          <w:szCs w:val="24"/>
        </w:rPr>
      </w:pPr>
    </w:p>
    <w:p w14:paraId="651A8D7C">
      <w:pPr>
        <w:numPr>
          <w:ilvl w:val="0"/>
          <w:numId w:val="2"/>
        </w:numPr>
        <w:spacing w:line="400" w:lineRule="exact"/>
        <w:ind w:left="357" w:hanging="357"/>
        <w:rPr>
          <w:rFonts w:hint="eastAsia" w:ascii="宋体" w:hAnsi="宋体"/>
          <w:sz w:val="24"/>
          <w:szCs w:val="24"/>
        </w:rPr>
      </w:pPr>
      <w:r>
        <w:rPr>
          <w:rFonts w:hint="eastAsia" w:ascii="宋体" w:hAnsi="宋体"/>
          <w:sz w:val="24"/>
          <w:szCs w:val="24"/>
        </w:rPr>
        <w:t>年度/定期跟踪审查申请</w:t>
      </w:r>
    </w:p>
    <w:p w14:paraId="28BBA851">
      <w:pPr>
        <w:numPr>
          <w:ilvl w:val="0"/>
          <w:numId w:val="3"/>
        </w:numPr>
        <w:spacing w:line="400" w:lineRule="exact"/>
        <w:rPr>
          <w:rFonts w:hint="eastAsia" w:ascii="宋体" w:hAnsi="宋体"/>
          <w:sz w:val="24"/>
          <w:szCs w:val="24"/>
        </w:rPr>
      </w:pPr>
      <w:r>
        <w:rPr>
          <w:rFonts w:hint="eastAsia" w:ascii="宋体" w:hAnsi="宋体"/>
          <w:sz w:val="24"/>
          <w:szCs w:val="24"/>
        </w:rPr>
        <w:t>应按照伦理审查批件/意见规定的跟踪审查频率和日期，在截止日期前1个月提交研究进展报告；研究发起者应当向组长单位</w:t>
      </w:r>
      <w:r>
        <w:rPr>
          <w:rFonts w:hint="eastAsia" w:ascii="宋体" w:hAnsi="宋体"/>
          <w:sz w:val="24"/>
          <w:szCs w:val="24"/>
          <w:lang w:eastAsia="zh-CN"/>
        </w:rPr>
        <w:t>伦理审查委员会</w:t>
      </w:r>
      <w:r>
        <w:rPr>
          <w:rFonts w:hint="eastAsia" w:ascii="宋体" w:hAnsi="宋体"/>
          <w:sz w:val="24"/>
          <w:szCs w:val="24"/>
        </w:rPr>
        <w:t>提交各中心研究进展的汇总报告；当出现任何可能显著影响研究进行、或增加</w:t>
      </w:r>
      <w:r>
        <w:rPr>
          <w:rFonts w:hint="eastAsia" w:ascii="宋体" w:hAnsi="宋体"/>
          <w:sz w:val="24"/>
          <w:szCs w:val="24"/>
          <w:lang w:eastAsia="zh-CN"/>
        </w:rPr>
        <w:t>研究参与者</w:t>
      </w:r>
      <w:r>
        <w:rPr>
          <w:rFonts w:hint="eastAsia" w:ascii="宋体" w:hAnsi="宋体"/>
          <w:sz w:val="24"/>
          <w:szCs w:val="24"/>
        </w:rPr>
        <w:t>危险的情况时，应以“研究进展报告”的方式，及时提交</w:t>
      </w:r>
      <w:r>
        <w:rPr>
          <w:rFonts w:hint="eastAsia" w:ascii="宋体" w:hAnsi="宋体"/>
          <w:sz w:val="24"/>
          <w:szCs w:val="24"/>
          <w:lang w:eastAsia="zh-CN"/>
        </w:rPr>
        <w:t>伦理审查委员会</w:t>
      </w:r>
      <w:r>
        <w:rPr>
          <w:rFonts w:hint="eastAsia" w:ascii="宋体" w:hAnsi="宋体"/>
          <w:sz w:val="24"/>
          <w:szCs w:val="24"/>
        </w:rPr>
        <w:t>审查。如果伦理审查批件有效期到期，需要申请延长批件有效期，应通过“研究进展报告”申请。</w:t>
      </w:r>
    </w:p>
    <w:p w14:paraId="560F33C5">
      <w:pPr>
        <w:numPr>
          <w:ilvl w:val="0"/>
          <w:numId w:val="0"/>
        </w:numPr>
        <w:spacing w:line="400" w:lineRule="exact"/>
        <w:rPr>
          <w:rFonts w:hint="eastAsia" w:ascii="宋体" w:hAnsi="宋体"/>
          <w:sz w:val="24"/>
          <w:szCs w:val="24"/>
        </w:rPr>
      </w:pPr>
    </w:p>
    <w:p w14:paraId="1109A63C">
      <w:pPr>
        <w:numPr>
          <w:ilvl w:val="0"/>
          <w:numId w:val="2"/>
        </w:numPr>
        <w:spacing w:line="400" w:lineRule="exact"/>
        <w:ind w:left="357" w:hanging="357"/>
        <w:rPr>
          <w:rFonts w:hint="eastAsia" w:ascii="宋体" w:hAnsi="宋体"/>
          <w:sz w:val="24"/>
          <w:szCs w:val="24"/>
          <w:highlight w:val="yellow"/>
        </w:rPr>
      </w:pPr>
      <w:r>
        <w:rPr>
          <w:rFonts w:hint="eastAsia" w:hAnsi="宋体"/>
          <w:sz w:val="24"/>
          <w:highlight w:val="yellow"/>
          <w:lang w:val="en-US" w:eastAsia="zh-CN"/>
        </w:rPr>
        <w:t>安全性事件</w:t>
      </w:r>
      <w:r>
        <w:rPr>
          <w:rFonts w:hint="eastAsia" w:ascii="宋体" w:hAnsi="宋体"/>
          <w:sz w:val="24"/>
          <w:szCs w:val="24"/>
          <w:highlight w:val="yellow"/>
        </w:rPr>
        <w:t>审查申请</w:t>
      </w:r>
    </w:p>
    <w:p w14:paraId="6F5D4090">
      <w:pPr>
        <w:numPr>
          <w:ilvl w:val="0"/>
          <w:numId w:val="4"/>
        </w:numPr>
        <w:rPr>
          <w:rFonts w:hAnsi="Times New Roman"/>
          <w:sz w:val="24"/>
        </w:rPr>
      </w:pPr>
      <w:r>
        <w:rPr>
          <w:rFonts w:hint="eastAsia" w:hAnsi="宋体"/>
          <w:sz w:val="24"/>
        </w:rPr>
        <w:t>申办者负责报告研究过程中发生的药物</w:t>
      </w:r>
      <w:r>
        <w:rPr>
          <w:rFonts w:hAnsi="宋体"/>
          <w:sz w:val="24"/>
        </w:rPr>
        <w:t>临床试验</w:t>
      </w:r>
      <w:r>
        <w:rPr>
          <w:rFonts w:ascii="Times New Roman" w:hAnsi="宋体"/>
          <w:sz w:val="24"/>
          <w:szCs w:val="24"/>
        </w:rPr>
        <w:t>可疑且</w:t>
      </w:r>
      <w:r>
        <w:rPr>
          <w:rFonts w:hint="eastAsia" w:hAnsi="宋体"/>
          <w:sz w:val="24"/>
        </w:rPr>
        <w:t>非预期严重不良反应</w:t>
      </w:r>
      <w:r>
        <w:rPr>
          <w:rFonts w:ascii="宋体" w:hAnsi="宋体" w:eastAsia="宋体" w:cs="宋体"/>
          <w:sz w:val="24"/>
          <w:szCs w:val="24"/>
        </w:rPr>
        <w:t>、其他潜在的严重安全性风险信息，以及药物研发期间安全性更新报告相关信息</w:t>
      </w:r>
      <w:r>
        <w:rPr>
          <w:rFonts w:hint="eastAsia" w:hAnsi="宋体"/>
          <w:sz w:val="24"/>
        </w:rPr>
        <w:t>；</w:t>
      </w:r>
    </w:p>
    <w:p w14:paraId="5018039C">
      <w:pPr>
        <w:numPr>
          <w:ilvl w:val="0"/>
          <w:numId w:val="4"/>
        </w:numPr>
        <w:rPr>
          <w:rFonts w:hAnsi="Times New Roman"/>
          <w:sz w:val="24"/>
        </w:rPr>
      </w:pPr>
      <w:r>
        <w:rPr>
          <w:rFonts w:hAnsi="宋体"/>
          <w:sz w:val="24"/>
        </w:rPr>
        <w:t>研究者负责报告</w:t>
      </w:r>
      <w:r>
        <w:rPr>
          <w:rFonts w:hint="eastAsia" w:hAnsi="宋体"/>
          <w:sz w:val="24"/>
          <w:lang w:val="en-US" w:eastAsia="zh-CN"/>
        </w:rPr>
        <w:t>药物/</w:t>
      </w:r>
      <w:r>
        <w:rPr>
          <w:rFonts w:hint="eastAsia" w:hAnsi="宋体"/>
          <w:sz w:val="24"/>
        </w:rPr>
        <w:t>器械</w:t>
      </w:r>
      <w:r>
        <w:rPr>
          <w:rFonts w:hAnsi="宋体"/>
          <w:sz w:val="24"/>
        </w:rPr>
        <w:t>临床试验严重不良事件</w:t>
      </w:r>
      <w:r>
        <w:rPr>
          <w:rFonts w:hint="eastAsia" w:hAnsi="宋体"/>
          <w:sz w:val="24"/>
        </w:rPr>
        <w:t>；</w:t>
      </w:r>
    </w:p>
    <w:p w14:paraId="683A8397">
      <w:pPr>
        <w:numPr>
          <w:ilvl w:val="0"/>
          <w:numId w:val="4"/>
        </w:numPr>
        <w:rPr>
          <w:rFonts w:hAnsi="Times New Roman"/>
          <w:sz w:val="24"/>
        </w:rPr>
      </w:pPr>
      <w:r>
        <w:rPr>
          <w:rFonts w:hint="eastAsia" w:hAnsi="宋体"/>
          <w:sz w:val="24"/>
        </w:rPr>
        <w:t>研究者负责报告研究者</w:t>
      </w:r>
      <w:r>
        <w:rPr>
          <w:rFonts w:hAnsi="宋体"/>
          <w:sz w:val="24"/>
        </w:rPr>
        <w:t>发起</w:t>
      </w:r>
      <w:r>
        <w:rPr>
          <w:rFonts w:hint="eastAsia" w:hAnsi="宋体"/>
          <w:sz w:val="24"/>
          <w:lang w:val="en-US" w:eastAsia="zh-CN"/>
        </w:rPr>
        <w:t>干预性临床</w:t>
      </w:r>
      <w:r>
        <w:rPr>
          <w:rFonts w:hint="eastAsia" w:hAnsi="宋体"/>
          <w:sz w:val="24"/>
        </w:rPr>
        <w:t>研究过程中发生的</w:t>
      </w:r>
      <w:r>
        <w:rPr>
          <w:rFonts w:hAnsi="宋体"/>
          <w:sz w:val="24"/>
        </w:rPr>
        <w:t>严重不良事件；</w:t>
      </w:r>
    </w:p>
    <w:p w14:paraId="639BA0CD">
      <w:pPr>
        <w:numPr>
          <w:ilvl w:val="0"/>
          <w:numId w:val="4"/>
        </w:numPr>
        <w:rPr>
          <w:rFonts w:hAnsi="Times New Roman"/>
          <w:sz w:val="24"/>
        </w:rPr>
      </w:pPr>
      <w:r>
        <w:rPr>
          <w:rFonts w:hint="eastAsia" w:hAnsi="宋体"/>
          <w:sz w:val="24"/>
          <w:lang w:val="en-US" w:eastAsia="zh-CN"/>
        </w:rPr>
        <w:t>对于致死性事件主要研究者需根据审查需要尽可能提供最终医学报告或尸检报告或相关说明等。</w:t>
      </w:r>
    </w:p>
    <w:p w14:paraId="1E52EDC7">
      <w:pPr>
        <w:numPr>
          <w:ilvl w:val="0"/>
          <w:numId w:val="4"/>
        </w:numPr>
        <w:rPr>
          <w:rFonts w:hAnsi="Times New Roman"/>
          <w:sz w:val="24"/>
        </w:rPr>
      </w:pPr>
      <w:r>
        <w:rPr>
          <w:rFonts w:hint="eastAsia" w:hAnsi="宋体"/>
          <w:sz w:val="24"/>
          <w:lang w:val="en-US" w:eastAsia="zh-CN"/>
        </w:rPr>
        <w:t>如已使用伦理评审系统递交材料的项目，所有安全性信息的递交材料均在系统中递交，不接受发送邮件。</w:t>
      </w:r>
    </w:p>
    <w:p w14:paraId="4598D024">
      <w:pPr>
        <w:numPr>
          <w:ilvl w:val="0"/>
          <w:numId w:val="0"/>
        </w:numPr>
        <w:rPr>
          <w:sz w:val="24"/>
        </w:rPr>
      </w:pPr>
    </w:p>
    <w:p w14:paraId="2C2149EB">
      <w:pPr>
        <w:numPr>
          <w:ilvl w:val="0"/>
          <w:numId w:val="0"/>
        </w:numPr>
        <w:rPr>
          <w:sz w:val="24"/>
        </w:rPr>
      </w:pPr>
      <w:bookmarkStart w:id="1" w:name="OLE_LINK15"/>
      <w:r>
        <w:rPr>
          <w:rFonts w:hint="eastAsia"/>
          <w:sz w:val="24"/>
        </w:rPr>
        <w:t>报告时限：</w:t>
      </w:r>
    </w:p>
    <w:bookmarkEnd w:id="1"/>
    <w:p w14:paraId="31D3410B">
      <w:pPr>
        <w:numPr>
          <w:ilvl w:val="0"/>
          <w:numId w:val="4"/>
        </w:numPr>
        <w:rPr>
          <w:rFonts w:hint="eastAsia"/>
          <w:sz w:val="24"/>
        </w:rPr>
      </w:pPr>
      <w:bookmarkStart w:id="2" w:name="OLE_LINK27"/>
      <w:r>
        <w:rPr>
          <w:rFonts w:hint="eastAsia" w:ascii="宋体" w:hAnsi="宋体"/>
          <w:sz w:val="24"/>
        </w:rPr>
        <w:t>对于药物临床</w:t>
      </w:r>
      <w:r>
        <w:rPr>
          <w:rFonts w:ascii="宋体" w:hAnsi="宋体"/>
          <w:sz w:val="24"/>
        </w:rPr>
        <w:t>试验的</w:t>
      </w:r>
      <w:r>
        <w:rPr>
          <w:rFonts w:hint="eastAsia" w:ascii="宋体" w:hAnsi="宋体"/>
          <w:sz w:val="24"/>
        </w:rPr>
        <w:t>可疑且非预期严重不良反应（SUSAR），申办方评估后按照药物GCP规定进行快速报告：1）对于</w:t>
      </w:r>
      <w:r>
        <w:rPr>
          <w:rFonts w:hint="eastAsia" w:ascii="宋体" w:hAnsi="宋体"/>
          <w:sz w:val="24"/>
          <w:lang w:val="en-US" w:eastAsia="zh-CN"/>
        </w:rPr>
        <w:t>本院发生的</w:t>
      </w:r>
      <w:r>
        <w:rPr>
          <w:rFonts w:hint="eastAsia" w:ascii="宋体" w:hAnsi="宋体"/>
          <w:sz w:val="24"/>
        </w:rPr>
        <w:t>致死或危及生命的SUSAR，申办方在首次获知后</w:t>
      </w:r>
      <w:r>
        <w:rPr>
          <w:rFonts w:hint="eastAsia" w:ascii="宋体" w:hAnsi="宋体"/>
          <w:sz w:val="24"/>
          <w:lang w:val="en-US" w:eastAsia="zh-CN"/>
        </w:rPr>
        <w:t>快速</w:t>
      </w:r>
      <w:r>
        <w:rPr>
          <w:rFonts w:hint="eastAsia" w:ascii="宋体" w:hAnsi="宋体"/>
          <w:sz w:val="24"/>
        </w:rPr>
        <w:t>报告，但不得超于7天，并在随后的8天内完善随访信息；2）对于</w:t>
      </w:r>
      <w:r>
        <w:rPr>
          <w:rFonts w:hint="eastAsia" w:ascii="宋体" w:hAnsi="宋体"/>
          <w:sz w:val="24"/>
          <w:lang w:val="en-US" w:eastAsia="zh-CN"/>
        </w:rPr>
        <w:t>本院</w:t>
      </w:r>
      <w:r>
        <w:rPr>
          <w:rFonts w:hint="eastAsia" w:ascii="宋体" w:hAnsi="宋体"/>
          <w:sz w:val="24"/>
        </w:rPr>
        <w:t>非致死性或</w:t>
      </w:r>
      <w:r>
        <w:rPr>
          <w:rFonts w:hint="eastAsia" w:ascii="宋体" w:hAnsi="宋体"/>
          <w:sz w:val="24"/>
          <w:lang w:val="en-US" w:eastAsia="zh-CN"/>
        </w:rPr>
        <w:t>非</w:t>
      </w:r>
      <w:r>
        <w:rPr>
          <w:rFonts w:hint="eastAsia" w:ascii="宋体" w:hAnsi="宋体"/>
          <w:sz w:val="24"/>
        </w:rPr>
        <w:t>危及生命的SUSAR，申办方在首次获知后</w:t>
      </w:r>
      <w:r>
        <w:rPr>
          <w:rFonts w:hint="eastAsia" w:ascii="宋体" w:hAnsi="宋体"/>
          <w:sz w:val="24"/>
          <w:lang w:val="en-US" w:eastAsia="zh-CN"/>
        </w:rPr>
        <w:t>快速</w:t>
      </w:r>
      <w:r>
        <w:rPr>
          <w:rFonts w:hint="eastAsia" w:ascii="宋体" w:hAnsi="宋体"/>
          <w:sz w:val="24"/>
        </w:rPr>
        <w:t>报告，</w:t>
      </w:r>
      <w:r>
        <w:rPr>
          <w:rFonts w:hint="eastAsia" w:ascii="宋体" w:hAnsi="宋体"/>
          <w:sz w:val="24"/>
          <w:lang w:val="en-US" w:eastAsia="zh-CN"/>
        </w:rPr>
        <w:t>一般不超过</w:t>
      </w:r>
      <w:r>
        <w:rPr>
          <w:rFonts w:ascii="宋体" w:hAnsi="宋体"/>
          <w:sz w:val="24"/>
        </w:rPr>
        <w:t>15</w:t>
      </w:r>
      <w:r>
        <w:rPr>
          <w:rFonts w:hint="eastAsia" w:ascii="宋体" w:hAnsi="宋体"/>
          <w:sz w:val="24"/>
        </w:rPr>
        <w:t>天</w:t>
      </w:r>
      <w:r>
        <w:rPr>
          <w:rFonts w:hint="eastAsia" w:ascii="宋体" w:hAnsi="宋体"/>
          <w:sz w:val="24"/>
          <w:lang w:eastAsia="zh-CN"/>
        </w:rPr>
        <w:t>；</w:t>
      </w:r>
      <w:r>
        <w:rPr>
          <w:rFonts w:hint="eastAsia" w:ascii="宋体" w:hAnsi="宋体"/>
          <w:sz w:val="24"/>
          <w:lang w:val="en-US" w:eastAsia="zh-CN"/>
        </w:rPr>
        <w:t>3）对于非本院发生的SUSAR，按照要求原则上每季度汇总递交一次，但对于提示新的重要安全性问题，需要立即关注或者采取措施的SUSAR/其他安全性信息，不得等待季度汇总，应按快速报告要求及时递交（一般不超过</w:t>
      </w:r>
      <w:r>
        <w:rPr>
          <w:rFonts w:ascii="宋体" w:hAnsi="宋体"/>
          <w:sz w:val="24"/>
        </w:rPr>
        <w:t>15</w:t>
      </w:r>
      <w:r>
        <w:rPr>
          <w:rFonts w:hint="eastAsia" w:ascii="宋体" w:hAnsi="宋体"/>
          <w:sz w:val="24"/>
        </w:rPr>
        <w:t>天</w:t>
      </w:r>
      <w:r>
        <w:rPr>
          <w:rFonts w:hint="eastAsia" w:ascii="宋体" w:hAnsi="宋体"/>
          <w:sz w:val="24"/>
          <w:lang w:val="en-US" w:eastAsia="zh-CN"/>
        </w:rPr>
        <w:t>）。</w:t>
      </w:r>
    </w:p>
    <w:p w14:paraId="1723F8ED">
      <w:pPr>
        <w:numPr>
          <w:ilvl w:val="0"/>
          <w:numId w:val="0"/>
        </w:numPr>
        <w:tabs>
          <w:tab w:val="left" w:pos="420"/>
        </w:tabs>
        <w:ind w:left="0" w:firstLine="0"/>
        <w:rPr>
          <w:rFonts w:hint="eastAsia"/>
          <w:sz w:val="24"/>
        </w:rPr>
      </w:pPr>
    </w:p>
    <w:p w14:paraId="6AFA8E59">
      <w:pPr>
        <w:numPr>
          <w:ilvl w:val="0"/>
          <w:numId w:val="4"/>
        </w:numPr>
        <w:tabs>
          <w:tab w:val="clear" w:pos="420"/>
        </w:tabs>
        <w:rPr>
          <w:rFonts w:hint="eastAsia"/>
          <w:sz w:val="24"/>
        </w:rPr>
      </w:pPr>
      <w:r>
        <w:rPr>
          <w:rFonts w:hint="eastAsia" w:ascii="宋体" w:hAnsi="宋体"/>
          <w:sz w:val="24"/>
        </w:rPr>
        <w:t>对于药物临床</w:t>
      </w:r>
      <w:r>
        <w:rPr>
          <w:rFonts w:ascii="宋体" w:hAnsi="宋体"/>
          <w:sz w:val="24"/>
        </w:rPr>
        <w:t>试验</w:t>
      </w:r>
      <w:r>
        <w:rPr>
          <w:rFonts w:hint="eastAsia" w:ascii="宋体" w:hAnsi="宋体"/>
          <w:sz w:val="24"/>
          <w:lang w:val="en-US" w:eastAsia="zh-CN"/>
        </w:rPr>
        <w:t>本院发生的严重不良事件（SAE）的首次报告，</w:t>
      </w:r>
      <w:r>
        <w:rPr>
          <w:rFonts w:ascii="宋体" w:hAnsi="宋体" w:eastAsia="宋体" w:cs="宋体"/>
          <w:sz w:val="24"/>
          <w:szCs w:val="24"/>
        </w:rPr>
        <w:t>除试验方案或者其他文件（如研究者手册）中规定不需立即报告的严重不良事件外，主要研究者应当在获知后立即</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通常24小时内</w:t>
      </w:r>
      <w:r>
        <w:rPr>
          <w:rFonts w:hint="eastAsia" w:ascii="宋体" w:hAnsi="宋体" w:eastAsia="宋体" w:cs="宋体"/>
          <w:sz w:val="24"/>
          <w:szCs w:val="24"/>
          <w:lang w:eastAsia="zh-CN"/>
        </w:rPr>
        <w:t>）</w:t>
      </w:r>
      <w:r>
        <w:rPr>
          <w:rFonts w:ascii="宋体" w:hAnsi="宋体" w:eastAsia="宋体" w:cs="宋体"/>
          <w:sz w:val="24"/>
          <w:szCs w:val="24"/>
        </w:rPr>
        <w:t>书面报告所有严重不良事件，随后应当及时提供详尽、书面的随访报告</w:t>
      </w:r>
      <w:r>
        <w:rPr>
          <w:rFonts w:hint="eastAsia" w:ascii="宋体" w:hAnsi="宋体" w:eastAsia="宋体" w:cs="宋体"/>
          <w:sz w:val="24"/>
          <w:szCs w:val="24"/>
          <w:lang w:eastAsia="zh-CN"/>
        </w:rPr>
        <w:t>。</w:t>
      </w:r>
    </w:p>
    <w:p w14:paraId="2F4506BC">
      <w:pPr>
        <w:numPr>
          <w:ilvl w:val="0"/>
          <w:numId w:val="0"/>
        </w:numPr>
        <w:tabs>
          <w:tab w:val="left" w:pos="840"/>
        </w:tabs>
        <w:spacing w:line="240" w:lineRule="auto"/>
        <w:ind w:left="0" w:firstLine="0"/>
        <w:rPr>
          <w:rFonts w:ascii="Times New Roman" w:hAnsi="Times New Roman"/>
          <w:sz w:val="24"/>
        </w:rPr>
      </w:pPr>
    </w:p>
    <w:p w14:paraId="57EB75E7">
      <w:pPr>
        <w:numPr>
          <w:ilvl w:val="0"/>
          <w:numId w:val="3"/>
        </w:numPr>
        <w:tabs>
          <w:tab w:val="left" w:pos="420"/>
          <w:tab w:val="clear" w:pos="840"/>
        </w:tabs>
        <w:spacing w:line="400" w:lineRule="exact"/>
        <w:ind w:left="420" w:hanging="420"/>
        <w:rPr>
          <w:rFonts w:ascii="Times New Roman" w:hAnsi="Times New Roman"/>
          <w:sz w:val="24"/>
        </w:rPr>
      </w:pPr>
      <w:r>
        <w:rPr>
          <w:rFonts w:hint="eastAsia" w:ascii="宋体" w:hAnsi="宋体"/>
          <w:sz w:val="24"/>
        </w:rPr>
        <w:t>对于</w:t>
      </w:r>
      <w:bookmarkStart w:id="3" w:name="OLE_LINK19"/>
      <w:r>
        <w:rPr>
          <w:rFonts w:ascii="宋体" w:hAnsi="宋体"/>
          <w:sz w:val="24"/>
        </w:rPr>
        <w:t>器械临床试验研究</w:t>
      </w:r>
      <w:bookmarkEnd w:id="3"/>
      <w:r>
        <w:rPr>
          <w:rFonts w:ascii="宋体" w:hAnsi="宋体"/>
          <w:sz w:val="24"/>
        </w:rPr>
        <w:t>者应当在获知严重不良事件</w:t>
      </w:r>
      <w:bookmarkStart w:id="4" w:name="OLE_LINK13"/>
      <w:r>
        <w:rPr>
          <w:rFonts w:hint="eastAsia" w:ascii="宋体" w:hAnsi="宋体"/>
          <w:sz w:val="24"/>
          <w:lang w:eastAsia="zh-CN"/>
        </w:rPr>
        <w:t>（</w:t>
      </w:r>
      <w:r>
        <w:rPr>
          <w:rFonts w:hint="eastAsia" w:ascii="宋体" w:hAnsi="宋体"/>
          <w:sz w:val="24"/>
          <w:lang w:val="en-US" w:eastAsia="zh-CN"/>
        </w:rPr>
        <w:t>SAE</w:t>
      </w:r>
      <w:r>
        <w:rPr>
          <w:rFonts w:hint="eastAsia" w:ascii="宋体" w:hAnsi="宋体"/>
          <w:sz w:val="24"/>
          <w:lang w:eastAsia="zh-CN"/>
        </w:rPr>
        <w:t>）</w:t>
      </w:r>
      <w:bookmarkEnd w:id="4"/>
      <w:r>
        <w:rPr>
          <w:rFonts w:hint="eastAsia" w:ascii="宋体" w:hAnsi="宋体"/>
          <w:sz w:val="24"/>
          <w:lang w:val="en-US" w:eastAsia="zh-CN"/>
        </w:rPr>
        <w:t>后</w:t>
      </w:r>
      <w:r>
        <w:rPr>
          <w:rFonts w:ascii="宋体" w:hAnsi="宋体"/>
          <w:sz w:val="24"/>
        </w:rPr>
        <w:t>24小时内</w:t>
      </w:r>
      <w:r>
        <w:rPr>
          <w:rFonts w:hint="eastAsia" w:ascii="宋体" w:hAnsi="宋体"/>
          <w:sz w:val="24"/>
        </w:rPr>
        <w:t>报告</w:t>
      </w:r>
      <w:r>
        <w:rPr>
          <w:rFonts w:ascii="宋体" w:hAnsi="宋体"/>
          <w:sz w:val="24"/>
        </w:rPr>
        <w:t>，并按照临床试验方案的规定随访严重不良事件，提交严重不良事件随访报告</w:t>
      </w:r>
      <w:r>
        <w:rPr>
          <w:rFonts w:hint="eastAsia" w:ascii="宋体" w:hAnsi="宋体"/>
          <w:sz w:val="24"/>
        </w:rPr>
        <w:t>。</w:t>
      </w:r>
    </w:p>
    <w:p w14:paraId="10671341">
      <w:pPr>
        <w:numPr>
          <w:ilvl w:val="0"/>
          <w:numId w:val="0"/>
        </w:numPr>
        <w:tabs>
          <w:tab w:val="left" w:pos="420"/>
        </w:tabs>
        <w:spacing w:line="400" w:lineRule="exact"/>
        <w:ind w:left="0" w:firstLine="0"/>
        <w:rPr>
          <w:rFonts w:ascii="Times New Roman" w:hAnsi="Times New Roman"/>
          <w:sz w:val="24"/>
        </w:rPr>
      </w:pPr>
    </w:p>
    <w:p w14:paraId="27C5A038">
      <w:pPr>
        <w:numPr>
          <w:ilvl w:val="0"/>
          <w:numId w:val="4"/>
        </w:numPr>
        <w:tabs>
          <w:tab w:val="clear" w:pos="420"/>
        </w:tabs>
        <w:rPr>
          <w:rFonts w:hint="eastAsia"/>
          <w:sz w:val="24"/>
        </w:rPr>
      </w:pPr>
      <w:r>
        <w:rPr>
          <w:rFonts w:hint="eastAsia" w:ascii="宋体" w:hAnsi="宋体"/>
          <w:sz w:val="24"/>
        </w:rPr>
        <w:t>对于</w:t>
      </w:r>
      <w:bookmarkStart w:id="5" w:name="OLE_LINK11"/>
      <w:r>
        <w:rPr>
          <w:rFonts w:hint="eastAsia" w:ascii="宋体" w:hAnsi="宋体"/>
          <w:sz w:val="24"/>
        </w:rPr>
        <w:t>研究</w:t>
      </w:r>
      <w:r>
        <w:rPr>
          <w:rFonts w:ascii="宋体" w:hAnsi="宋体"/>
          <w:sz w:val="24"/>
        </w:rPr>
        <w:t>者发起</w:t>
      </w:r>
      <w:r>
        <w:rPr>
          <w:rFonts w:hint="eastAsia" w:ascii="宋体" w:hAnsi="宋体"/>
          <w:sz w:val="24"/>
          <w:lang w:val="en-US" w:eastAsia="zh-CN"/>
        </w:rPr>
        <w:t>的干预性临床研究</w:t>
      </w:r>
      <w:bookmarkEnd w:id="5"/>
      <w:r>
        <w:rPr>
          <w:rFonts w:hint="eastAsia" w:ascii="宋体" w:hAnsi="宋体"/>
          <w:sz w:val="24"/>
          <w:lang w:val="en-US" w:eastAsia="zh-CN"/>
        </w:rPr>
        <w:t>发生了</w:t>
      </w:r>
      <w:r>
        <w:rPr>
          <w:rFonts w:ascii="宋体" w:hAnsi="宋体"/>
          <w:sz w:val="24"/>
        </w:rPr>
        <w:t>严重不良事件</w:t>
      </w:r>
      <w:r>
        <w:rPr>
          <w:rFonts w:hint="eastAsia" w:ascii="宋体" w:hAnsi="宋体"/>
          <w:sz w:val="24"/>
          <w:lang w:eastAsia="zh-CN"/>
        </w:rPr>
        <w:t>（</w:t>
      </w:r>
      <w:r>
        <w:rPr>
          <w:rFonts w:hint="eastAsia" w:ascii="宋体" w:hAnsi="宋体"/>
          <w:sz w:val="24"/>
          <w:lang w:val="en-US" w:eastAsia="zh-CN"/>
        </w:rPr>
        <w:t>SAE</w:t>
      </w:r>
      <w:r>
        <w:rPr>
          <w:rFonts w:hint="eastAsia" w:ascii="宋体" w:hAnsi="宋体"/>
          <w:sz w:val="24"/>
          <w:lang w:eastAsia="zh-CN"/>
        </w:rPr>
        <w:t>），</w:t>
      </w:r>
      <w:r>
        <w:rPr>
          <w:rFonts w:hint="eastAsia" w:ascii="宋体" w:hAnsi="宋体"/>
          <w:sz w:val="24"/>
          <w:lang w:val="en-US" w:eastAsia="zh-CN"/>
        </w:rPr>
        <w:t>如果研究者初步判断此SAE事件可能显著影响临床试验的实施或增加研究参与者风险，研究者要在获知后</w:t>
      </w:r>
      <w:r>
        <w:rPr>
          <w:rFonts w:ascii="宋体" w:hAnsi="宋体"/>
          <w:sz w:val="24"/>
        </w:rPr>
        <w:t>24小时内</w:t>
      </w:r>
      <w:r>
        <w:rPr>
          <w:rFonts w:hint="eastAsia" w:ascii="宋体" w:hAnsi="宋体"/>
          <w:sz w:val="24"/>
        </w:rPr>
        <w:t>报告</w:t>
      </w:r>
      <w:r>
        <w:rPr>
          <w:rFonts w:ascii="宋体" w:hAnsi="宋体"/>
          <w:sz w:val="24"/>
        </w:rPr>
        <w:t>，</w:t>
      </w:r>
      <w:r>
        <w:rPr>
          <w:rFonts w:hint="eastAsia" w:ascii="宋体" w:hAnsi="宋体"/>
          <w:sz w:val="24"/>
          <w:lang w:val="en-US" w:eastAsia="zh-CN"/>
        </w:rPr>
        <w:t>其他情况的SAE事件报告可</w:t>
      </w:r>
      <w:r>
        <w:rPr>
          <w:rFonts w:ascii="宋体" w:hAnsi="宋体"/>
          <w:sz w:val="24"/>
        </w:rPr>
        <w:t>按照方案的规定</w:t>
      </w:r>
      <w:r>
        <w:rPr>
          <w:rFonts w:hint="eastAsia" w:ascii="宋体" w:hAnsi="宋体"/>
          <w:sz w:val="24"/>
          <w:lang w:val="en-US" w:eastAsia="zh-CN"/>
        </w:rPr>
        <w:t>提交</w:t>
      </w:r>
      <w:r>
        <w:rPr>
          <w:rFonts w:ascii="宋体" w:hAnsi="宋体"/>
          <w:sz w:val="24"/>
        </w:rPr>
        <w:t>，</w:t>
      </w:r>
      <w:r>
        <w:rPr>
          <w:rFonts w:hint="eastAsia" w:ascii="宋体" w:hAnsi="宋体"/>
          <w:sz w:val="24"/>
          <w:lang w:val="en-US" w:eastAsia="zh-CN"/>
        </w:rPr>
        <w:t>并进行</w:t>
      </w:r>
      <w:r>
        <w:rPr>
          <w:rFonts w:ascii="宋体" w:hAnsi="宋体"/>
          <w:sz w:val="24"/>
        </w:rPr>
        <w:t>随访</w:t>
      </w:r>
      <w:r>
        <w:rPr>
          <w:rFonts w:hint="eastAsia" w:ascii="宋体" w:hAnsi="宋体"/>
          <w:sz w:val="24"/>
        </w:rPr>
        <w:t>。</w:t>
      </w:r>
    </w:p>
    <w:p w14:paraId="29B0F1F0">
      <w:pPr>
        <w:numPr>
          <w:ilvl w:val="0"/>
          <w:numId w:val="0"/>
        </w:numPr>
        <w:tabs>
          <w:tab w:val="left" w:pos="420"/>
        </w:tabs>
        <w:spacing w:line="400" w:lineRule="exact"/>
        <w:ind w:left="0" w:firstLine="0"/>
        <w:rPr>
          <w:rFonts w:ascii="Times New Roman" w:hAnsi="Times New Roman"/>
          <w:sz w:val="24"/>
        </w:rPr>
      </w:pPr>
    </w:p>
    <w:p w14:paraId="3B0F903C">
      <w:pPr>
        <w:numPr>
          <w:ilvl w:val="0"/>
          <w:numId w:val="3"/>
        </w:numPr>
        <w:tabs>
          <w:tab w:val="left" w:pos="420"/>
          <w:tab w:val="clear" w:pos="840"/>
        </w:tabs>
        <w:spacing w:line="400" w:lineRule="exact"/>
        <w:ind w:left="420" w:hanging="420"/>
        <w:rPr>
          <w:rFonts w:ascii="宋体" w:hAnsi="宋体"/>
          <w:sz w:val="24"/>
        </w:rPr>
      </w:pPr>
      <w:r>
        <w:rPr>
          <w:rFonts w:hint="eastAsia" w:ascii="宋体" w:hAnsi="宋体"/>
          <w:sz w:val="24"/>
        </w:rPr>
        <w:t>发生的</w:t>
      </w:r>
      <w:r>
        <w:rPr>
          <w:rFonts w:hint="eastAsia" w:hAnsi="宋体"/>
          <w:sz w:val="24"/>
        </w:rPr>
        <w:t>SUSAR（药物）</w:t>
      </w:r>
      <w:r>
        <w:rPr>
          <w:rFonts w:hint="eastAsia" w:ascii="宋体" w:hAnsi="宋体"/>
          <w:sz w:val="24"/>
        </w:rPr>
        <w:t>使用“严重</w:t>
      </w:r>
      <w:r>
        <w:rPr>
          <w:rFonts w:ascii="宋体" w:hAnsi="宋体"/>
          <w:sz w:val="24"/>
        </w:rPr>
        <w:t>不良事件与</w:t>
      </w:r>
      <w:r>
        <w:rPr>
          <w:rFonts w:hint="eastAsia" w:ascii="宋体" w:hAnsi="宋体"/>
          <w:sz w:val="24"/>
        </w:rPr>
        <w:t>可疑且非预期严重不良反应（SUSAR）报告”报告，详见样表。</w:t>
      </w:r>
    </w:p>
    <w:p w14:paraId="3518DC74">
      <w:pPr>
        <w:numPr>
          <w:ilvl w:val="0"/>
          <w:numId w:val="0"/>
        </w:numPr>
        <w:tabs>
          <w:tab w:val="left" w:pos="420"/>
        </w:tabs>
        <w:spacing w:line="400" w:lineRule="exact"/>
        <w:ind w:left="0" w:firstLine="0"/>
        <w:rPr>
          <w:rFonts w:ascii="宋体" w:hAnsi="宋体"/>
          <w:sz w:val="24"/>
        </w:rPr>
      </w:pPr>
    </w:p>
    <w:p w14:paraId="6C7F4D13">
      <w:pPr>
        <w:numPr>
          <w:ilvl w:val="0"/>
          <w:numId w:val="3"/>
        </w:numPr>
        <w:tabs>
          <w:tab w:val="left" w:pos="420"/>
          <w:tab w:val="clear" w:pos="840"/>
        </w:tabs>
        <w:spacing w:line="400" w:lineRule="exact"/>
        <w:ind w:left="420" w:hanging="420"/>
        <w:rPr>
          <w:rFonts w:ascii="宋体" w:hAnsi="宋体"/>
          <w:sz w:val="24"/>
        </w:rPr>
      </w:pPr>
      <w:r>
        <w:rPr>
          <w:rFonts w:hint="eastAsia" w:ascii="宋体" w:hAnsi="宋体"/>
          <w:sz w:val="24"/>
        </w:rPr>
        <w:t>发生</w:t>
      </w:r>
      <w:r>
        <w:rPr>
          <w:rFonts w:ascii="宋体" w:hAnsi="宋体"/>
          <w:sz w:val="24"/>
        </w:rPr>
        <w:t>的器械临床试验SAE使用“</w:t>
      </w:r>
      <w:r>
        <w:rPr>
          <w:rFonts w:hint="eastAsia" w:ascii="宋体" w:hAnsi="宋体"/>
          <w:sz w:val="24"/>
        </w:rPr>
        <w:t>器械</w:t>
      </w:r>
      <w:r>
        <w:rPr>
          <w:rFonts w:ascii="宋体" w:hAnsi="宋体"/>
          <w:sz w:val="24"/>
        </w:rPr>
        <w:t>临床试验SAE</w:t>
      </w:r>
      <w:r>
        <w:rPr>
          <w:rFonts w:hint="eastAsia" w:ascii="宋体" w:hAnsi="宋体"/>
          <w:sz w:val="24"/>
        </w:rPr>
        <w:t>报告</w:t>
      </w:r>
      <w:r>
        <w:rPr>
          <w:rFonts w:ascii="宋体" w:hAnsi="宋体"/>
          <w:sz w:val="24"/>
        </w:rPr>
        <w:t>”</w:t>
      </w:r>
      <w:r>
        <w:rPr>
          <w:rFonts w:hint="eastAsia" w:ascii="宋体" w:hAnsi="宋体"/>
          <w:sz w:val="24"/>
        </w:rPr>
        <w:t>报告，</w:t>
      </w:r>
      <w:r>
        <w:rPr>
          <w:rFonts w:ascii="宋体" w:hAnsi="宋体"/>
          <w:sz w:val="24"/>
        </w:rPr>
        <w:t>详见样表。</w:t>
      </w:r>
    </w:p>
    <w:p w14:paraId="0A2C42EC">
      <w:pPr>
        <w:numPr>
          <w:ilvl w:val="0"/>
          <w:numId w:val="0"/>
        </w:numPr>
        <w:tabs>
          <w:tab w:val="left" w:pos="420"/>
        </w:tabs>
        <w:spacing w:line="400" w:lineRule="exact"/>
        <w:ind w:left="0" w:firstLine="0"/>
        <w:rPr>
          <w:rFonts w:ascii="宋体" w:hAnsi="宋体"/>
          <w:sz w:val="24"/>
        </w:rPr>
      </w:pPr>
    </w:p>
    <w:p w14:paraId="3BAB0C10">
      <w:pPr>
        <w:numPr>
          <w:ilvl w:val="0"/>
          <w:numId w:val="3"/>
        </w:numPr>
        <w:tabs>
          <w:tab w:val="left" w:pos="420"/>
          <w:tab w:val="clear" w:pos="840"/>
        </w:tabs>
        <w:spacing w:line="400" w:lineRule="exact"/>
        <w:ind w:left="420" w:hanging="420"/>
        <w:rPr>
          <w:rFonts w:ascii="宋体" w:hAnsi="宋体"/>
          <w:sz w:val="24"/>
        </w:rPr>
      </w:pPr>
      <w:r>
        <w:rPr>
          <w:rFonts w:hint="eastAsia" w:ascii="宋体" w:hAnsi="宋体"/>
          <w:sz w:val="24"/>
        </w:rPr>
        <w:t>研究</w:t>
      </w:r>
      <w:r>
        <w:rPr>
          <w:rFonts w:ascii="宋体" w:hAnsi="宋体"/>
          <w:sz w:val="24"/>
        </w:rPr>
        <w:t>者发起</w:t>
      </w:r>
      <w:r>
        <w:rPr>
          <w:rFonts w:hint="eastAsia" w:ascii="宋体" w:hAnsi="宋体"/>
          <w:sz w:val="24"/>
          <w:lang w:val="en-US" w:eastAsia="zh-CN"/>
        </w:rPr>
        <w:t>的干预性临床研究</w:t>
      </w:r>
      <w:r>
        <w:rPr>
          <w:rFonts w:ascii="宋体" w:hAnsi="宋体"/>
          <w:sz w:val="24"/>
        </w:rPr>
        <w:t>严重不良事件</w:t>
      </w:r>
      <w:r>
        <w:rPr>
          <w:rFonts w:hint="eastAsia" w:ascii="宋体" w:hAnsi="宋体"/>
          <w:sz w:val="24"/>
        </w:rPr>
        <w:t>使用“严重</w:t>
      </w:r>
      <w:r>
        <w:rPr>
          <w:rFonts w:ascii="宋体" w:hAnsi="宋体"/>
          <w:sz w:val="24"/>
        </w:rPr>
        <w:t>不良事件与</w:t>
      </w:r>
      <w:r>
        <w:rPr>
          <w:rFonts w:hint="eastAsia" w:ascii="宋体" w:hAnsi="宋体"/>
          <w:sz w:val="24"/>
        </w:rPr>
        <w:t>可疑且非预期严重不良反应（SUSAR）报告”报告，详见样表。</w:t>
      </w:r>
    </w:p>
    <w:p w14:paraId="1B51FE6B">
      <w:pPr>
        <w:numPr>
          <w:ilvl w:val="0"/>
          <w:numId w:val="0"/>
        </w:numPr>
        <w:tabs>
          <w:tab w:val="left" w:pos="420"/>
        </w:tabs>
        <w:spacing w:line="400" w:lineRule="exact"/>
        <w:ind w:left="0" w:firstLine="0"/>
        <w:rPr>
          <w:rFonts w:ascii="宋体" w:hAnsi="宋体"/>
          <w:sz w:val="24"/>
        </w:rPr>
      </w:pPr>
    </w:p>
    <w:p w14:paraId="064EA42F">
      <w:pPr>
        <w:numPr>
          <w:ilvl w:val="0"/>
          <w:numId w:val="3"/>
        </w:numPr>
        <w:tabs>
          <w:tab w:val="left" w:pos="420"/>
          <w:tab w:val="clear" w:pos="840"/>
        </w:tabs>
        <w:spacing w:line="400" w:lineRule="exact"/>
        <w:ind w:left="420" w:hanging="420"/>
        <w:rPr>
          <w:rFonts w:ascii="宋体" w:hAnsi="宋体"/>
          <w:sz w:val="24"/>
        </w:rPr>
      </w:pPr>
      <w:r>
        <w:rPr>
          <w:rFonts w:hint="eastAsia" w:ascii="宋体" w:hAnsi="宋体" w:eastAsia="宋体" w:cs="Times New Roman"/>
          <w:sz w:val="24"/>
          <w:szCs w:val="24"/>
          <w:lang w:val="en-US" w:eastAsia="zh-CN"/>
        </w:rPr>
        <w:t>申办方获知的</w:t>
      </w:r>
      <w:r>
        <w:rPr>
          <w:rFonts w:hint="eastAsia" w:ascii="宋体" w:hAnsi="宋体" w:eastAsia="宋体" w:cs="Times New Roman"/>
          <w:sz w:val="24"/>
          <w:szCs w:val="24"/>
        </w:rPr>
        <w:t>药品监督管理部门提出的风险处理要求、其他潜在的严重安全性风险信息和需要立即关注或者采取措施的紧急安全性问题</w:t>
      </w:r>
      <w:r>
        <w:rPr>
          <w:rFonts w:hint="eastAsia" w:ascii="宋体" w:hAnsi="宋体" w:eastAsia="宋体" w:cs="Times New Roman"/>
          <w:sz w:val="24"/>
          <w:szCs w:val="24"/>
          <w:lang w:val="en-US" w:eastAsia="zh-CN"/>
        </w:rPr>
        <w:t>需根据风险紧急程度</w:t>
      </w:r>
      <w:r>
        <w:rPr>
          <w:rFonts w:hint="eastAsia" w:ascii="宋体" w:hAnsi="宋体" w:eastAsia="宋体" w:cs="Times New Roman"/>
          <w:sz w:val="24"/>
          <w:szCs w:val="24"/>
        </w:rPr>
        <w:t>快速报告</w:t>
      </w:r>
      <w:r>
        <w:rPr>
          <w:rFonts w:hint="eastAsia" w:ascii="宋体" w:hAnsi="宋体" w:eastAsia="宋体" w:cs="Times New Roman"/>
          <w:sz w:val="24"/>
          <w:szCs w:val="24"/>
          <w:lang w:eastAsia="zh-CN"/>
        </w:rPr>
        <w:t>（</w:t>
      </w:r>
      <w:r>
        <w:rPr>
          <w:rFonts w:hint="eastAsia" w:ascii="宋体" w:hAnsi="宋体" w:eastAsia="宋体" w:cs="Times New Roman"/>
          <w:sz w:val="24"/>
          <w:szCs w:val="24"/>
          <w:lang w:val="en-US" w:eastAsia="zh-CN"/>
        </w:rPr>
        <w:t>一般不超过15天</w:t>
      </w:r>
      <w:r>
        <w:rPr>
          <w:rFonts w:hint="eastAsia" w:ascii="宋体" w:hAnsi="宋体" w:eastAsia="宋体" w:cs="Times New Roman"/>
          <w:sz w:val="24"/>
          <w:szCs w:val="24"/>
          <w:lang w:eastAsia="zh-CN"/>
        </w:rPr>
        <w:t>）。</w:t>
      </w:r>
    </w:p>
    <w:p w14:paraId="27619931">
      <w:pPr>
        <w:numPr>
          <w:ilvl w:val="0"/>
          <w:numId w:val="0"/>
        </w:numPr>
        <w:tabs>
          <w:tab w:val="left" w:pos="420"/>
        </w:tabs>
        <w:spacing w:line="400" w:lineRule="exact"/>
        <w:ind w:left="0" w:firstLine="0"/>
        <w:rPr>
          <w:rFonts w:ascii="宋体" w:hAnsi="宋体" w:eastAsia="宋体" w:cs="Times New Roman"/>
          <w:sz w:val="24"/>
        </w:rPr>
      </w:pPr>
    </w:p>
    <w:p w14:paraId="775D2BD5">
      <w:pPr>
        <w:numPr>
          <w:ilvl w:val="0"/>
          <w:numId w:val="3"/>
        </w:numPr>
        <w:tabs>
          <w:tab w:val="left" w:pos="420"/>
          <w:tab w:val="clear" w:pos="840"/>
        </w:tabs>
        <w:spacing w:line="400" w:lineRule="exact"/>
        <w:ind w:left="420" w:hanging="420"/>
        <w:rPr>
          <w:rFonts w:ascii="宋体" w:hAnsi="宋体"/>
          <w:sz w:val="24"/>
        </w:rPr>
      </w:pPr>
      <w:r>
        <w:rPr>
          <w:rFonts w:hint="eastAsia" w:ascii="宋体" w:hAnsi="宋体"/>
          <w:sz w:val="24"/>
          <w:lang w:val="en-US" w:eastAsia="zh-CN"/>
        </w:rPr>
        <w:t>对于安全性更新报告可根据方案规定定期报送。</w:t>
      </w:r>
    </w:p>
    <w:bookmarkEnd w:id="2"/>
    <w:p w14:paraId="0C09F78E">
      <w:pPr>
        <w:numPr>
          <w:ilvl w:val="0"/>
          <w:numId w:val="0"/>
        </w:numPr>
        <w:tabs>
          <w:tab w:val="left" w:pos="420"/>
        </w:tabs>
        <w:spacing w:line="400" w:lineRule="exact"/>
        <w:ind w:leftChars="0"/>
        <w:rPr>
          <w:rFonts w:hint="eastAsia" w:ascii="宋体" w:hAnsi="宋体"/>
          <w:sz w:val="24"/>
        </w:rPr>
      </w:pPr>
    </w:p>
    <w:p w14:paraId="23A98487">
      <w:pPr>
        <w:numPr>
          <w:ilvl w:val="0"/>
          <w:numId w:val="2"/>
        </w:numPr>
        <w:spacing w:line="400" w:lineRule="exact"/>
        <w:ind w:left="357" w:hanging="357"/>
        <w:rPr>
          <w:rFonts w:hint="eastAsia" w:ascii="宋体" w:hAnsi="宋体" w:eastAsia="宋体" w:cs="Times New Roman"/>
          <w:sz w:val="24"/>
          <w:szCs w:val="24"/>
          <w:highlight w:val="yellow"/>
        </w:rPr>
      </w:pPr>
      <w:r>
        <w:rPr>
          <w:rFonts w:hint="eastAsia" w:ascii="宋体" w:hAnsi="宋体" w:eastAsia="宋体" w:cs="Times New Roman"/>
          <w:sz w:val="24"/>
          <w:szCs w:val="24"/>
          <w:highlight w:val="yellow"/>
          <w:lang w:val="en-US" w:eastAsia="zh-CN"/>
        </w:rPr>
        <w:t>方案偏离</w:t>
      </w:r>
      <w:r>
        <w:rPr>
          <w:rFonts w:hint="eastAsia" w:ascii="宋体" w:hAnsi="宋体" w:eastAsia="宋体" w:cs="Times New Roman"/>
          <w:sz w:val="24"/>
          <w:szCs w:val="24"/>
          <w:highlight w:val="yellow"/>
        </w:rPr>
        <w:t>审查申请</w:t>
      </w:r>
    </w:p>
    <w:p w14:paraId="087D96EE">
      <w:pPr>
        <w:numPr>
          <w:ilvl w:val="0"/>
          <w:numId w:val="5"/>
        </w:numPr>
        <w:rPr>
          <w:sz w:val="24"/>
        </w:rPr>
      </w:pPr>
      <w:bookmarkStart w:id="6" w:name="OLE_LINK16"/>
      <w:r>
        <w:rPr>
          <w:rFonts w:hint="eastAsia" w:hAnsi="宋体"/>
          <w:sz w:val="24"/>
          <w:lang w:val="en-US" w:eastAsia="zh-CN"/>
        </w:rPr>
        <w:t>A）发生</w:t>
      </w:r>
      <w:r>
        <w:rPr>
          <w:rFonts w:hint="eastAsia"/>
          <w:sz w:val="24"/>
          <w:lang w:val="en-US" w:eastAsia="zh-CN"/>
        </w:rPr>
        <w:t>以下1）和2）中描述的</w:t>
      </w:r>
      <w:r>
        <w:rPr>
          <w:rFonts w:hint="eastAsia" w:hAnsi="宋体"/>
          <w:sz w:val="24"/>
        </w:rPr>
        <w:t>事件，</w:t>
      </w:r>
      <w:r>
        <w:rPr>
          <w:rFonts w:hAnsi="宋体"/>
          <w:sz w:val="24"/>
        </w:rPr>
        <w:t>可能对</w:t>
      </w:r>
      <w:r>
        <w:rPr>
          <w:rFonts w:hint="eastAsia" w:hAnsi="宋体"/>
          <w:sz w:val="24"/>
          <w:lang w:eastAsia="zh-CN"/>
        </w:rPr>
        <w:t>研究参与者</w:t>
      </w:r>
      <w:r>
        <w:rPr>
          <w:rFonts w:hAnsi="宋体"/>
          <w:sz w:val="24"/>
        </w:rPr>
        <w:t>的安全或者临床试验的实施产生不利影响的</w:t>
      </w:r>
      <w:r>
        <w:rPr>
          <w:rFonts w:hint="eastAsia" w:hAnsi="宋体"/>
          <w:sz w:val="24"/>
        </w:rPr>
        <w:t>情况，</w:t>
      </w:r>
      <w:r>
        <w:rPr>
          <w:rFonts w:hint="eastAsia" w:hAnsi="宋体"/>
          <w:sz w:val="24"/>
          <w:lang w:val="en-US" w:eastAsia="zh-CN"/>
        </w:rPr>
        <w:t>主要研究者应</w:t>
      </w:r>
      <w:r>
        <w:rPr>
          <w:rFonts w:ascii="宋体" w:hAnsi="宋体" w:eastAsia="宋体" w:cs="宋体"/>
          <w:sz w:val="24"/>
          <w:szCs w:val="24"/>
        </w:rPr>
        <w:t>进行解释，</w:t>
      </w:r>
      <w:r>
        <w:rPr>
          <w:rFonts w:hint="eastAsia" w:ascii="宋体" w:hAnsi="宋体" w:eastAsia="宋体" w:cs="宋体"/>
          <w:sz w:val="24"/>
          <w:szCs w:val="24"/>
          <w:lang w:val="en-US" w:eastAsia="zh-CN"/>
        </w:rPr>
        <w:t>且</w:t>
      </w:r>
      <w:r>
        <w:rPr>
          <w:rFonts w:ascii="宋体" w:hAnsi="宋体" w:eastAsia="宋体" w:cs="宋体"/>
          <w:sz w:val="24"/>
          <w:szCs w:val="24"/>
        </w:rPr>
        <w:t>采取适当的纠正和预防措施，并</w:t>
      </w:r>
      <w:r>
        <w:rPr>
          <w:rFonts w:hint="eastAsia" w:ascii="宋体" w:hAnsi="宋体" w:eastAsia="宋体" w:cs="宋体"/>
          <w:sz w:val="24"/>
          <w:szCs w:val="24"/>
          <w:lang w:val="en-US" w:eastAsia="zh-CN"/>
        </w:rPr>
        <w:t>及时</w:t>
      </w:r>
      <w:r>
        <w:rPr>
          <w:rFonts w:hint="eastAsia" w:hAnsi="宋体"/>
          <w:sz w:val="24"/>
          <w:lang w:val="en-US" w:eastAsia="zh-CN"/>
        </w:rPr>
        <w:t>（建议获知后</w:t>
      </w:r>
      <w:r>
        <w:rPr>
          <w:rFonts w:hint="eastAsia"/>
          <w:sz w:val="24"/>
          <w:lang w:val="en-US" w:eastAsia="zh-CN"/>
        </w:rPr>
        <w:t>15天</w:t>
      </w:r>
      <w:r>
        <w:rPr>
          <w:rFonts w:hint="eastAsia"/>
          <w:sz w:val="24"/>
        </w:rPr>
        <w:t>内</w:t>
      </w:r>
      <w:r>
        <w:rPr>
          <w:rFonts w:hint="eastAsia"/>
          <w:sz w:val="24"/>
          <w:lang w:eastAsia="zh-CN"/>
        </w:rPr>
        <w:t>）</w:t>
      </w:r>
      <w:r>
        <w:rPr>
          <w:rFonts w:ascii="宋体" w:hAnsi="宋体" w:eastAsia="宋体" w:cs="宋体"/>
          <w:sz w:val="24"/>
          <w:szCs w:val="24"/>
        </w:rPr>
        <w:t>向伦理审查委员会</w:t>
      </w:r>
      <w:r>
        <w:rPr>
          <w:rFonts w:hint="eastAsia" w:ascii="宋体" w:hAnsi="宋体" w:eastAsia="宋体" w:cs="宋体"/>
          <w:sz w:val="24"/>
          <w:szCs w:val="24"/>
          <w:lang w:val="en-US" w:eastAsia="zh-CN"/>
        </w:rPr>
        <w:t>提交方案偏离</w:t>
      </w:r>
      <w:r>
        <w:rPr>
          <w:rFonts w:hint="eastAsia" w:hAnsi="宋体"/>
          <w:sz w:val="24"/>
        </w:rPr>
        <w:t>报告；</w:t>
      </w:r>
      <w:r>
        <w:rPr>
          <w:rFonts w:hint="eastAsia" w:hAnsi="宋体"/>
          <w:sz w:val="24"/>
          <w:lang w:val="en-US" w:eastAsia="zh-CN"/>
        </w:rPr>
        <w:t>以下5）中的</w:t>
      </w:r>
      <w:r>
        <w:rPr>
          <w:rFonts w:hint="eastAsia" w:hAnsi="宋体"/>
          <w:sz w:val="24"/>
        </w:rPr>
        <w:t>情况</w:t>
      </w:r>
      <w:r>
        <w:rPr>
          <w:rFonts w:hint="eastAsia"/>
          <w:sz w:val="24"/>
          <w:lang w:val="en-US" w:eastAsia="zh-CN"/>
        </w:rPr>
        <w:t>原则上按照季度报告频率</w:t>
      </w:r>
      <w:r>
        <w:rPr>
          <w:rFonts w:hint="eastAsia" w:hAnsi="宋体"/>
          <w:sz w:val="24"/>
        </w:rPr>
        <w:t>。</w:t>
      </w:r>
    </w:p>
    <w:p w14:paraId="45935F50">
      <w:pPr>
        <w:numPr>
          <w:ilvl w:val="0"/>
          <w:numId w:val="0"/>
        </w:numPr>
        <w:ind w:leftChars="0"/>
        <w:rPr>
          <w:sz w:val="24"/>
        </w:rPr>
      </w:pPr>
    </w:p>
    <w:p w14:paraId="1C384573">
      <w:pPr>
        <w:ind w:left="420"/>
        <w:rPr>
          <w:rFonts w:hint="eastAsia"/>
          <w:sz w:val="24"/>
        </w:rPr>
      </w:pPr>
      <w:r>
        <w:rPr>
          <w:rFonts w:hint="eastAsia"/>
          <w:sz w:val="24"/>
        </w:rPr>
        <w:t>1）</w:t>
      </w:r>
      <w:r>
        <w:rPr>
          <w:rFonts w:hint="eastAsia"/>
          <w:sz w:val="24"/>
          <w:lang w:val="en-US" w:eastAsia="zh-CN"/>
        </w:rPr>
        <w:t>重要</w:t>
      </w:r>
      <w:r>
        <w:rPr>
          <w:rFonts w:hint="eastAsia"/>
          <w:sz w:val="24"/>
        </w:rPr>
        <w:t>方案</w:t>
      </w:r>
      <w:r>
        <w:rPr>
          <w:rFonts w:hint="eastAsia"/>
          <w:sz w:val="24"/>
          <w:lang w:val="en-US" w:eastAsia="zh-CN"/>
        </w:rPr>
        <w:t>偏离</w:t>
      </w:r>
      <w:bookmarkStart w:id="7" w:name="OLE_LINK4"/>
      <w:r>
        <w:rPr>
          <w:rFonts w:hint="eastAsia"/>
          <w:sz w:val="24"/>
        </w:rPr>
        <w:t>；</w:t>
      </w:r>
      <w:bookmarkEnd w:id="7"/>
    </w:p>
    <w:p w14:paraId="7F238409">
      <w:pPr>
        <w:widowControl/>
        <w:ind w:left="360"/>
        <w:jc w:val="left"/>
        <w:rPr>
          <w:rFonts w:hint="eastAsia"/>
          <w:sz w:val="24"/>
        </w:rPr>
      </w:pPr>
      <w:r>
        <w:rPr>
          <w:rFonts w:hint="eastAsia"/>
          <w:sz w:val="24"/>
        </w:rPr>
        <w:t xml:space="preserve">   </w:t>
      </w:r>
    </w:p>
    <w:p w14:paraId="5FFE6869">
      <w:pPr>
        <w:widowControl/>
        <w:ind w:left="360" w:firstLine="420" w:firstLineChars="200"/>
        <w:jc w:val="left"/>
        <w:rPr>
          <w:rFonts w:hint="eastAsia" w:ascii="宋体" w:hAnsi="宋体" w:cs="宋体"/>
        </w:rPr>
      </w:pPr>
      <w:r>
        <w:rPr>
          <w:rFonts w:hint="eastAsia" w:ascii="宋体" w:hAnsi="宋体"/>
          <w:lang w:val="en-US" w:eastAsia="zh-CN"/>
        </w:rPr>
        <w:t>重要</w:t>
      </w:r>
      <w:r>
        <w:rPr>
          <w:rFonts w:hint="eastAsia" w:ascii="宋体" w:hAnsi="宋体"/>
        </w:rPr>
        <w:t>方案</w:t>
      </w:r>
      <w:r>
        <w:rPr>
          <w:rFonts w:hint="eastAsia" w:ascii="宋体" w:hAnsi="宋体"/>
          <w:lang w:val="en-US" w:eastAsia="zh-CN"/>
        </w:rPr>
        <w:t>偏离</w:t>
      </w:r>
      <w:r>
        <w:rPr>
          <w:rFonts w:hint="eastAsia" w:ascii="宋体" w:hAnsi="宋体"/>
        </w:rPr>
        <w:t>情况包括</w:t>
      </w:r>
      <w:r>
        <w:rPr>
          <w:rFonts w:hint="eastAsia" w:ascii="宋体" w:hAnsi="宋体"/>
          <w:lang w:eastAsia="zh-CN"/>
        </w:rPr>
        <w:t>（</w:t>
      </w:r>
      <w:r>
        <w:rPr>
          <w:rFonts w:hint="eastAsia" w:ascii="宋体" w:hAnsi="宋体"/>
          <w:lang w:val="en-US" w:eastAsia="zh-CN"/>
        </w:rPr>
        <w:t>可多选</w:t>
      </w:r>
      <w:r>
        <w:rPr>
          <w:rFonts w:hint="eastAsia" w:ascii="宋体" w:hAnsi="宋体"/>
          <w:lang w:eastAsia="zh-CN"/>
        </w:rPr>
        <w:t>）</w:t>
      </w:r>
      <w:r>
        <w:rPr>
          <w:rFonts w:hint="eastAsia" w:ascii="宋体" w:hAnsi="宋体" w:cs="宋体"/>
        </w:rPr>
        <w:t>：</w:t>
      </w:r>
    </w:p>
    <w:p w14:paraId="60CF2FE7">
      <w:pPr>
        <w:widowControl/>
        <w:numPr>
          <w:ilvl w:val="2"/>
          <w:numId w:val="6"/>
        </w:numPr>
        <w:jc w:val="left"/>
        <w:rPr>
          <w:rFonts w:hint="eastAsia" w:ascii="宋体" w:hAnsi="宋体" w:cs="宋体"/>
        </w:rPr>
      </w:pPr>
      <w:r>
        <w:rPr>
          <w:rFonts w:hint="eastAsia" w:ascii="宋体" w:hAnsi="宋体" w:cs="宋体"/>
        </w:rPr>
        <w:t>纳入不符合纳入标准的</w:t>
      </w:r>
      <w:r>
        <w:rPr>
          <w:rFonts w:hint="eastAsia" w:ascii="宋体" w:hAnsi="宋体" w:cs="宋体"/>
          <w:lang w:eastAsia="zh-CN"/>
        </w:rPr>
        <w:t>研究参与者</w:t>
      </w:r>
      <w:r>
        <w:rPr>
          <w:rFonts w:hint="eastAsia" w:ascii="宋体" w:hAnsi="宋体" w:cs="宋体"/>
        </w:rPr>
        <w:t>；</w:t>
      </w:r>
    </w:p>
    <w:p w14:paraId="66BAF0FE">
      <w:pPr>
        <w:widowControl/>
        <w:numPr>
          <w:ilvl w:val="2"/>
          <w:numId w:val="6"/>
        </w:numPr>
        <w:jc w:val="left"/>
        <w:rPr>
          <w:rFonts w:hint="eastAsia" w:ascii="宋体" w:hAnsi="宋体" w:cs="宋体"/>
        </w:rPr>
      </w:pPr>
      <w:r>
        <w:rPr>
          <w:rFonts w:hint="eastAsia" w:ascii="宋体" w:hAnsi="宋体" w:cs="宋体"/>
        </w:rPr>
        <w:t>研究过程中，符合提前中止研究标准而没有让</w:t>
      </w:r>
      <w:r>
        <w:rPr>
          <w:rFonts w:hint="eastAsia" w:ascii="宋体" w:hAnsi="宋体" w:cs="宋体"/>
          <w:lang w:eastAsia="zh-CN"/>
        </w:rPr>
        <w:t>研究参与者</w:t>
      </w:r>
      <w:r>
        <w:rPr>
          <w:rFonts w:hint="eastAsia" w:ascii="宋体" w:hAnsi="宋体" w:cs="宋体"/>
        </w:rPr>
        <w:t>退出；</w:t>
      </w:r>
    </w:p>
    <w:p w14:paraId="4C0ED492">
      <w:pPr>
        <w:widowControl/>
        <w:numPr>
          <w:ilvl w:val="2"/>
          <w:numId w:val="6"/>
        </w:numPr>
        <w:jc w:val="left"/>
        <w:rPr>
          <w:rFonts w:hint="eastAsia" w:ascii="宋体" w:hAnsi="宋体" w:cs="宋体"/>
        </w:rPr>
      </w:pPr>
      <w:r>
        <w:rPr>
          <w:rFonts w:hint="eastAsia" w:ascii="宋体" w:hAnsi="宋体" w:cs="宋体"/>
        </w:rPr>
        <w:t>给予</w:t>
      </w:r>
      <w:r>
        <w:rPr>
          <w:rFonts w:hint="eastAsia" w:ascii="宋体" w:hAnsi="宋体" w:cs="宋体"/>
          <w:lang w:eastAsia="zh-CN"/>
        </w:rPr>
        <w:t>研究参与者</w:t>
      </w:r>
      <w:r>
        <w:rPr>
          <w:rFonts w:hint="eastAsia" w:ascii="宋体" w:hAnsi="宋体" w:cs="宋体"/>
        </w:rPr>
        <w:t>错误的治疗或不正确的剂量；</w:t>
      </w:r>
    </w:p>
    <w:p w14:paraId="7AE2407D">
      <w:pPr>
        <w:widowControl/>
        <w:numPr>
          <w:ilvl w:val="2"/>
          <w:numId w:val="6"/>
        </w:numPr>
        <w:jc w:val="left"/>
        <w:rPr>
          <w:rFonts w:hint="eastAsia" w:ascii="宋体" w:hAnsi="宋体" w:cs="宋体"/>
        </w:rPr>
      </w:pPr>
      <w:r>
        <w:rPr>
          <w:rFonts w:hint="eastAsia" w:ascii="宋体" w:hAnsi="宋体" w:cs="宋体"/>
        </w:rPr>
        <w:t>给予</w:t>
      </w:r>
      <w:r>
        <w:rPr>
          <w:rFonts w:hint="eastAsia" w:ascii="宋体" w:hAnsi="宋体" w:cs="宋体"/>
          <w:lang w:eastAsia="zh-CN"/>
        </w:rPr>
        <w:t>研究参与者</w:t>
      </w:r>
      <w:r>
        <w:rPr>
          <w:rFonts w:hint="eastAsia" w:ascii="宋体" w:hAnsi="宋体" w:cs="宋体"/>
        </w:rPr>
        <w:t>方案禁用的合并用药</w:t>
      </w:r>
      <w:r>
        <w:rPr>
          <w:rFonts w:hint="eastAsia" w:ascii="宋体" w:hAnsi="宋体" w:cs="宋体"/>
          <w:lang w:val="en-US" w:eastAsia="zh-CN"/>
        </w:rPr>
        <w:t>且可能影响疗效/安全性评估</w:t>
      </w:r>
      <w:r>
        <w:rPr>
          <w:rFonts w:hint="eastAsia" w:ascii="宋体" w:hAnsi="宋体" w:cs="宋体"/>
        </w:rPr>
        <w:t>；</w:t>
      </w:r>
    </w:p>
    <w:p w14:paraId="59620A00">
      <w:pPr>
        <w:widowControl/>
        <w:numPr>
          <w:ilvl w:val="2"/>
          <w:numId w:val="6"/>
        </w:numPr>
        <w:jc w:val="left"/>
        <w:rPr>
          <w:rFonts w:hint="eastAsia" w:ascii="宋体" w:hAnsi="宋体" w:cs="宋体"/>
        </w:rPr>
      </w:pPr>
      <w:r>
        <w:rPr>
          <w:rFonts w:hint="eastAsia" w:ascii="宋体" w:hAnsi="宋体" w:cs="宋体"/>
        </w:rPr>
        <w:t>给予</w:t>
      </w:r>
      <w:r>
        <w:rPr>
          <w:rFonts w:hint="eastAsia" w:ascii="宋体" w:hAnsi="宋体" w:cs="宋体"/>
          <w:lang w:eastAsia="zh-CN"/>
        </w:rPr>
        <w:t>研究参与者</w:t>
      </w:r>
      <w:r>
        <w:rPr>
          <w:rFonts w:hint="eastAsia" w:ascii="宋体" w:hAnsi="宋体" w:cs="宋体"/>
          <w:lang w:val="en-US" w:eastAsia="zh-CN"/>
        </w:rPr>
        <w:t>过期的药物；</w:t>
      </w:r>
    </w:p>
    <w:p w14:paraId="2CC1FA8F">
      <w:pPr>
        <w:widowControl/>
        <w:numPr>
          <w:ilvl w:val="2"/>
          <w:numId w:val="6"/>
        </w:numPr>
        <w:jc w:val="left"/>
        <w:rPr>
          <w:rFonts w:hint="eastAsia" w:ascii="宋体" w:hAnsi="宋体" w:cs="宋体"/>
        </w:rPr>
      </w:pPr>
      <w:r>
        <w:rPr>
          <w:rFonts w:hint="eastAsia" w:ascii="宋体" w:hAnsi="宋体" w:cs="宋体"/>
          <w:lang w:val="en-US" w:eastAsia="zh-CN"/>
        </w:rPr>
        <w:t>盲法试验非紧急情况下意外提前破盲；</w:t>
      </w:r>
    </w:p>
    <w:p w14:paraId="3249C586">
      <w:pPr>
        <w:widowControl/>
        <w:numPr>
          <w:ilvl w:val="2"/>
          <w:numId w:val="6"/>
        </w:numPr>
        <w:jc w:val="left"/>
        <w:rPr>
          <w:rFonts w:hint="eastAsia" w:ascii="宋体" w:hAnsi="宋体" w:cs="宋体"/>
        </w:rPr>
      </w:pPr>
      <w:r>
        <w:rPr>
          <w:rFonts w:hint="eastAsia" w:ascii="宋体" w:hAnsi="宋体" w:cs="宋体"/>
          <w:lang w:val="en-US" w:eastAsia="zh-CN"/>
        </w:rPr>
        <w:t>药物存储及运输条件严重偏离方案造成药物质量风险；</w:t>
      </w:r>
    </w:p>
    <w:p w14:paraId="6F3C89C4">
      <w:pPr>
        <w:widowControl/>
        <w:numPr>
          <w:ilvl w:val="2"/>
          <w:numId w:val="6"/>
        </w:numPr>
        <w:jc w:val="left"/>
        <w:rPr>
          <w:rFonts w:hint="eastAsia" w:ascii="宋体" w:hAnsi="宋体" w:cs="宋体"/>
        </w:rPr>
      </w:pPr>
      <w:r>
        <w:rPr>
          <w:rFonts w:hint="eastAsia" w:ascii="宋体" w:hAnsi="宋体" w:cs="宋体"/>
          <w:lang w:val="en-US" w:eastAsia="zh-CN"/>
        </w:rPr>
        <w:t>漏做方案强制的主要终点核心、安全性检查，造成关键数据永久性缺失无法进入统计分析；</w:t>
      </w:r>
    </w:p>
    <w:p w14:paraId="37756E7C">
      <w:pPr>
        <w:widowControl/>
        <w:numPr>
          <w:ilvl w:val="2"/>
          <w:numId w:val="6"/>
        </w:numPr>
        <w:jc w:val="left"/>
        <w:rPr>
          <w:rFonts w:hint="eastAsia" w:ascii="宋体" w:hAnsi="宋体" w:cs="宋体"/>
        </w:rPr>
      </w:pPr>
      <w:r>
        <w:rPr>
          <w:rFonts w:hint="eastAsia" w:ascii="宋体" w:hAnsi="宋体" w:cs="宋体"/>
          <w:lang w:val="en-US" w:eastAsia="zh-CN"/>
        </w:rPr>
        <w:t>关键安全性主要疗效检查严重超窗且无法补救，直接影响给药/疗效判断；</w:t>
      </w:r>
    </w:p>
    <w:p w14:paraId="1B49A5EA">
      <w:pPr>
        <w:widowControl/>
        <w:numPr>
          <w:ilvl w:val="2"/>
          <w:numId w:val="6"/>
        </w:numPr>
        <w:jc w:val="left"/>
        <w:rPr>
          <w:rFonts w:hint="eastAsia" w:ascii="宋体" w:hAnsi="宋体" w:cs="宋体"/>
        </w:rPr>
      </w:pPr>
      <w:r>
        <w:rPr>
          <w:rFonts w:hint="eastAsia" w:ascii="宋体" w:hAnsi="宋体" w:cs="宋体"/>
          <w:lang w:val="en-US" w:eastAsia="zh-CN"/>
        </w:rPr>
        <w:t>除为消除研究参与者即刻危害的紧急情形外，研究者自行擅自修改方案流程；</w:t>
      </w:r>
    </w:p>
    <w:p w14:paraId="02E03955">
      <w:pPr>
        <w:widowControl/>
        <w:numPr>
          <w:ilvl w:val="2"/>
          <w:numId w:val="6"/>
        </w:numPr>
        <w:jc w:val="left"/>
        <w:rPr>
          <w:rFonts w:hint="eastAsia" w:ascii="宋体" w:hAnsi="宋体" w:cs="宋体"/>
        </w:rPr>
      </w:pPr>
      <w:r>
        <w:rPr>
          <w:rFonts w:hint="eastAsia" w:ascii="宋体" w:hAnsi="宋体" w:cs="宋体"/>
        </w:rPr>
        <w:t>未签署知情同意，就开展试验相关操作（筛选、给药、采样等）</w:t>
      </w:r>
      <w:r>
        <w:rPr>
          <w:rFonts w:hint="eastAsia" w:ascii="宋体" w:hAnsi="宋体" w:cs="宋体"/>
          <w:lang w:eastAsia="zh-CN"/>
        </w:rPr>
        <w:t>；</w:t>
      </w:r>
    </w:p>
    <w:p w14:paraId="5E9B728D">
      <w:pPr>
        <w:widowControl/>
        <w:numPr>
          <w:ilvl w:val="2"/>
          <w:numId w:val="6"/>
        </w:numPr>
        <w:jc w:val="left"/>
        <w:rPr>
          <w:rFonts w:hint="eastAsia" w:ascii="宋体" w:hAnsi="宋体" w:cs="宋体"/>
        </w:rPr>
      </w:pPr>
      <w:r>
        <w:rPr>
          <w:rFonts w:hint="eastAsia" w:ascii="宋体" w:hAnsi="宋体" w:cs="宋体"/>
        </w:rPr>
        <w:t>非授权人员获取知情同意</w:t>
      </w:r>
      <w:r>
        <w:rPr>
          <w:rFonts w:hint="eastAsia" w:ascii="宋体" w:hAnsi="宋体" w:cs="宋体"/>
          <w:lang w:eastAsia="zh-CN"/>
        </w:rPr>
        <w:t>；</w:t>
      </w:r>
    </w:p>
    <w:p w14:paraId="2A358B3D">
      <w:pPr>
        <w:widowControl/>
        <w:numPr>
          <w:ilvl w:val="2"/>
          <w:numId w:val="6"/>
        </w:numPr>
        <w:jc w:val="left"/>
        <w:rPr>
          <w:rFonts w:hint="eastAsia" w:ascii="宋体" w:hAnsi="宋体" w:cs="宋体"/>
        </w:rPr>
      </w:pPr>
      <w:r>
        <w:rPr>
          <w:rFonts w:hint="eastAsia" w:ascii="宋体" w:hAnsi="宋体" w:eastAsia="宋体" w:cs="宋体"/>
          <w:lang w:val="en-US" w:eastAsia="zh-CN"/>
        </w:rPr>
        <w:t>任何偏离研究特定程序或评估，从而</w:t>
      </w:r>
      <w:bookmarkStart w:id="8" w:name="OLE_LINK5"/>
      <w:r>
        <w:rPr>
          <w:rFonts w:hint="eastAsia" w:ascii="宋体" w:hAnsi="宋体" w:eastAsia="宋体" w:cs="宋体"/>
          <w:lang w:val="en-US" w:eastAsia="zh-CN"/>
        </w:rPr>
        <w:t>对研究参</w:t>
      </w:r>
      <w:r>
        <w:rPr>
          <w:rFonts w:hint="eastAsia" w:ascii="宋体" w:hAnsi="宋体" w:cs="宋体"/>
          <w:lang w:eastAsia="zh-CN"/>
        </w:rPr>
        <w:t>与者</w:t>
      </w:r>
      <w:r>
        <w:rPr>
          <w:rFonts w:hint="eastAsia" w:ascii="宋体" w:hAnsi="宋体" w:cs="宋体"/>
        </w:rPr>
        <w:t>的权益、安全、健康</w:t>
      </w:r>
      <w:bookmarkEnd w:id="8"/>
      <w:r>
        <w:rPr>
          <w:rFonts w:hint="eastAsia" w:ascii="宋体" w:hAnsi="宋体" w:cs="宋体"/>
        </w:rPr>
        <w:t>，或对研究结果产生显著影响的研究行为</w:t>
      </w:r>
      <w:r>
        <w:rPr>
          <w:rFonts w:hint="eastAsia" w:ascii="宋体" w:hAnsi="宋体" w:cs="宋体"/>
          <w:lang w:eastAsia="zh-CN"/>
        </w:rPr>
        <w:t>；</w:t>
      </w:r>
    </w:p>
    <w:p w14:paraId="5A99F855">
      <w:pPr>
        <w:widowControl/>
        <w:numPr>
          <w:ilvl w:val="2"/>
          <w:numId w:val="6"/>
        </w:numPr>
        <w:jc w:val="left"/>
        <w:rPr>
          <w:rFonts w:hint="eastAsia" w:ascii="宋体" w:hAnsi="宋体" w:cs="宋体"/>
        </w:rPr>
      </w:pPr>
      <w:r>
        <w:rPr>
          <w:rFonts w:hint="eastAsia" w:ascii="宋体" w:hAnsi="宋体" w:cs="宋体"/>
          <w:lang w:val="en-US" w:eastAsia="zh-CN"/>
        </w:rPr>
        <w:t>严重/持续不依从问题，可能会对研究参与者安全和数据完整性产生影响的偏离；</w:t>
      </w:r>
    </w:p>
    <w:p w14:paraId="134E55F0">
      <w:pPr>
        <w:widowControl/>
        <w:numPr>
          <w:ilvl w:val="2"/>
          <w:numId w:val="6"/>
        </w:numPr>
        <w:jc w:val="left"/>
        <w:rPr>
          <w:rFonts w:hint="eastAsia" w:ascii="宋体" w:hAnsi="宋体" w:eastAsia="宋体" w:cs="宋体"/>
          <w:lang w:val="en-US" w:eastAsia="zh-CN"/>
        </w:rPr>
      </w:pPr>
      <w:r>
        <w:rPr>
          <w:rFonts w:hint="eastAsia" w:ascii="宋体" w:hAnsi="宋体" w:eastAsia="宋体" w:cs="宋体"/>
          <w:lang w:val="en-US" w:eastAsia="zh-CN"/>
        </w:rPr>
        <w:t>伪造或篡改研究记录或数据；</w:t>
      </w:r>
    </w:p>
    <w:p w14:paraId="25F25A39">
      <w:pPr>
        <w:widowControl/>
        <w:numPr>
          <w:ilvl w:val="2"/>
          <w:numId w:val="6"/>
        </w:numPr>
        <w:jc w:val="left"/>
        <w:rPr>
          <w:rFonts w:hint="eastAsia" w:ascii="宋体" w:hAnsi="宋体" w:eastAsia="宋体" w:cs="宋体"/>
          <w:lang w:val="en-US" w:eastAsia="zh-CN"/>
        </w:rPr>
      </w:pPr>
      <w:r>
        <w:rPr>
          <w:rFonts w:hint="eastAsia" w:ascii="宋体" w:hAnsi="宋体" w:eastAsia="宋体" w:cs="宋体"/>
          <w:lang w:val="en-US" w:eastAsia="zh-CN"/>
        </w:rPr>
        <w:t>未按规定立即报告严重不良事件（SAE）或非预期严重药物不良反应（SUSAR）至申办者及伦理审查委员会。</w:t>
      </w:r>
    </w:p>
    <w:p w14:paraId="5BE09E23">
      <w:pPr>
        <w:widowControl/>
        <w:jc w:val="left"/>
        <w:rPr>
          <w:rFonts w:hint="eastAsia"/>
          <w:sz w:val="24"/>
        </w:rPr>
      </w:pPr>
    </w:p>
    <w:p w14:paraId="38F1B4FB">
      <w:pPr>
        <w:ind w:left="420"/>
        <w:rPr>
          <w:rFonts w:hint="eastAsia"/>
          <w:sz w:val="24"/>
        </w:rPr>
      </w:pPr>
      <w:r>
        <w:rPr>
          <w:rFonts w:hint="eastAsia" w:ascii="宋体" w:hAnsi="宋体"/>
          <w:sz w:val="24"/>
        </w:rPr>
        <w:t>2）</w:t>
      </w:r>
      <w:r>
        <w:rPr>
          <w:sz w:val="24"/>
        </w:rPr>
        <w:t>临床试验实施中为消除对</w:t>
      </w:r>
      <w:r>
        <w:rPr>
          <w:rFonts w:hint="eastAsia"/>
          <w:sz w:val="24"/>
          <w:lang w:eastAsia="zh-CN"/>
        </w:rPr>
        <w:t>研究参与者</w:t>
      </w:r>
      <w:r>
        <w:rPr>
          <w:sz w:val="24"/>
        </w:rPr>
        <w:t>紧急危害的试验方案的偏离</w:t>
      </w:r>
      <w:r>
        <w:rPr>
          <w:rFonts w:hint="eastAsia"/>
          <w:sz w:val="24"/>
          <w:lang w:val="en-US" w:eastAsia="zh-CN"/>
        </w:rPr>
        <w:t>或修改</w:t>
      </w:r>
      <w:r>
        <w:rPr>
          <w:rFonts w:hint="eastAsia"/>
          <w:sz w:val="24"/>
        </w:rPr>
        <w:t>；</w:t>
      </w:r>
    </w:p>
    <w:p w14:paraId="0A586B6B">
      <w:pPr>
        <w:ind w:left="420"/>
        <w:rPr>
          <w:rFonts w:hint="eastAsia"/>
          <w:sz w:val="24"/>
        </w:rPr>
      </w:pPr>
    </w:p>
    <w:p w14:paraId="074AC011">
      <w:pPr>
        <w:ind w:left="420"/>
        <w:rPr>
          <w:rFonts w:hint="eastAsia"/>
          <w:sz w:val="24"/>
        </w:rPr>
      </w:pPr>
      <w:r>
        <w:rPr>
          <w:rFonts w:hint="eastAsia"/>
          <w:sz w:val="24"/>
        </w:rPr>
        <w:t>3）</w:t>
      </w:r>
      <w:r>
        <w:rPr>
          <w:rFonts w:ascii="宋体" w:hAnsi="宋体"/>
          <w:sz w:val="24"/>
        </w:rPr>
        <w:t>在未出现危及生命的情况下，</w:t>
      </w:r>
      <w:r>
        <w:rPr>
          <w:rFonts w:hint="eastAsia" w:ascii="宋体" w:hAnsi="宋体"/>
          <w:sz w:val="24"/>
        </w:rPr>
        <w:t>对方案的任何</w:t>
      </w:r>
      <w:r>
        <w:rPr>
          <w:rFonts w:ascii="宋体" w:hAnsi="宋体"/>
          <w:sz w:val="24"/>
        </w:rPr>
        <w:t>修</w:t>
      </w:r>
      <w:r>
        <w:rPr>
          <w:rFonts w:hint="eastAsia" w:ascii="宋体" w:hAnsi="宋体"/>
          <w:sz w:val="24"/>
        </w:rPr>
        <w:t>改</w:t>
      </w:r>
      <w:r>
        <w:rPr>
          <w:rFonts w:ascii="宋体" w:hAnsi="宋体"/>
          <w:sz w:val="24"/>
        </w:rPr>
        <w:t>，</w:t>
      </w:r>
      <w:r>
        <w:rPr>
          <w:rFonts w:hint="eastAsia" w:ascii="宋体" w:hAnsi="宋体"/>
          <w:sz w:val="24"/>
        </w:rPr>
        <w:t>都要经过</w:t>
      </w:r>
      <w:r>
        <w:rPr>
          <w:rFonts w:hint="eastAsia" w:ascii="宋体" w:hAnsi="宋体"/>
          <w:sz w:val="24"/>
          <w:lang w:eastAsia="zh-CN"/>
        </w:rPr>
        <w:t>伦理审查委员会</w:t>
      </w:r>
      <w:r>
        <w:rPr>
          <w:rFonts w:ascii="宋体" w:hAnsi="宋体"/>
          <w:sz w:val="24"/>
        </w:rPr>
        <w:t>审查，批准后才能执行</w:t>
      </w:r>
      <w:r>
        <w:rPr>
          <w:rFonts w:hint="eastAsia" w:ascii="宋体" w:hAnsi="宋体"/>
          <w:sz w:val="24"/>
        </w:rPr>
        <w:t>，不能擅自执行后按照</w:t>
      </w:r>
      <w:r>
        <w:rPr>
          <w:rFonts w:hint="eastAsia" w:ascii="宋体" w:hAnsi="宋体"/>
          <w:sz w:val="24"/>
          <w:lang w:val="en-US" w:eastAsia="zh-CN"/>
        </w:rPr>
        <w:t>方案偏离</w:t>
      </w:r>
      <w:r>
        <w:rPr>
          <w:rFonts w:hint="eastAsia" w:ascii="宋体" w:hAnsi="宋体"/>
          <w:sz w:val="24"/>
        </w:rPr>
        <w:t>报备；</w:t>
      </w:r>
    </w:p>
    <w:p w14:paraId="4F02C105">
      <w:pPr>
        <w:ind w:left="420"/>
        <w:rPr>
          <w:rFonts w:hint="eastAsia"/>
          <w:sz w:val="24"/>
          <w:lang w:eastAsia="zh-CN"/>
        </w:rPr>
      </w:pPr>
      <w:r>
        <w:rPr>
          <w:rFonts w:hint="eastAsia"/>
          <w:sz w:val="24"/>
        </w:rPr>
        <w:t>4）</w:t>
      </w:r>
      <w:r>
        <w:rPr>
          <w:rFonts w:hint="eastAsia"/>
          <w:sz w:val="24"/>
          <w:lang w:val="en-US" w:eastAsia="zh-CN"/>
        </w:rPr>
        <w:t>以上1）和2）</w:t>
      </w:r>
      <w:r>
        <w:rPr>
          <w:rFonts w:hint="eastAsia"/>
          <w:sz w:val="24"/>
        </w:rPr>
        <w:t>按</w:t>
      </w:r>
      <w:r>
        <w:rPr>
          <w:rFonts w:hint="eastAsia"/>
          <w:sz w:val="24"/>
          <w:lang w:val="en-US" w:eastAsia="zh-CN"/>
        </w:rPr>
        <w:t>要求</w:t>
      </w:r>
      <w:r>
        <w:rPr>
          <w:rFonts w:hint="eastAsia"/>
          <w:sz w:val="24"/>
        </w:rPr>
        <w:t>填写</w:t>
      </w:r>
      <w:r>
        <w:rPr>
          <w:rFonts w:hint="eastAsia"/>
          <w:sz w:val="24"/>
          <w:lang w:eastAsia="zh-CN"/>
        </w:rPr>
        <w:t>《</w:t>
      </w:r>
      <w:r>
        <w:rPr>
          <w:rFonts w:hint="eastAsia"/>
          <w:sz w:val="24"/>
        </w:rPr>
        <w:t>方案</w:t>
      </w:r>
      <w:r>
        <w:rPr>
          <w:rFonts w:hint="eastAsia"/>
          <w:sz w:val="24"/>
          <w:lang w:val="en-US" w:eastAsia="zh-CN"/>
        </w:rPr>
        <w:t>偏离</w:t>
      </w:r>
      <w:r>
        <w:rPr>
          <w:rFonts w:hint="eastAsia"/>
          <w:sz w:val="24"/>
        </w:rPr>
        <w:t>报告</w:t>
      </w:r>
      <w:r>
        <w:rPr>
          <w:rFonts w:hint="eastAsia"/>
          <w:sz w:val="24"/>
          <w:lang w:eastAsia="zh-CN"/>
        </w:rPr>
        <w:t>》；</w:t>
      </w:r>
    </w:p>
    <w:p w14:paraId="02983D82">
      <w:pPr>
        <w:ind w:left="420"/>
        <w:rPr>
          <w:rFonts w:hint="eastAsia"/>
          <w:sz w:val="24"/>
          <w:lang w:val="en-US" w:eastAsia="zh-CN"/>
        </w:rPr>
      </w:pPr>
    </w:p>
    <w:p w14:paraId="16AF4C09">
      <w:pPr>
        <w:ind w:left="420"/>
        <w:rPr>
          <w:rFonts w:hint="eastAsia" w:eastAsia="宋体"/>
          <w:sz w:val="24"/>
          <w:lang w:val="en-US" w:eastAsia="zh-CN"/>
        </w:rPr>
      </w:pPr>
      <w:r>
        <w:rPr>
          <w:rFonts w:hint="eastAsia"/>
          <w:sz w:val="24"/>
          <w:lang w:val="en-US" w:eastAsia="zh-CN"/>
        </w:rPr>
        <w:t>5）轻微、偶发、不影响安全、主要疗效等关键数据的一般方案偏离汇总后原则上按照季度报告频率，不再单独填写《方案偏离</w:t>
      </w:r>
      <w:r>
        <w:rPr>
          <w:rFonts w:hint="eastAsia"/>
          <w:sz w:val="24"/>
        </w:rPr>
        <w:t>报告</w:t>
      </w:r>
      <w:r>
        <w:rPr>
          <w:rFonts w:hint="eastAsia"/>
          <w:sz w:val="24"/>
          <w:lang w:eastAsia="zh-CN"/>
        </w:rPr>
        <w:t>》。</w:t>
      </w:r>
    </w:p>
    <w:bookmarkEnd w:id="6"/>
    <w:p w14:paraId="19B18146">
      <w:pPr>
        <w:ind w:left="420"/>
        <w:rPr>
          <w:rFonts w:hint="eastAsia"/>
          <w:sz w:val="24"/>
        </w:rPr>
      </w:pPr>
    </w:p>
    <w:p w14:paraId="43D33EAA">
      <w:pPr>
        <w:numPr>
          <w:ilvl w:val="0"/>
          <w:numId w:val="5"/>
        </w:numPr>
        <w:rPr>
          <w:rFonts w:hint="eastAsia" w:eastAsia="宋体"/>
          <w:sz w:val="24"/>
          <w:lang w:val="en-US" w:eastAsia="zh-CN"/>
        </w:rPr>
      </w:pPr>
      <w:bookmarkStart w:id="9" w:name="OLE_LINK18"/>
      <w:r>
        <w:rPr>
          <w:rFonts w:hint="eastAsia"/>
          <w:sz w:val="24"/>
          <w:lang w:val="en-US" w:eastAsia="zh-CN"/>
        </w:rPr>
        <w:t>B）研究者发起项目的方案偏离事件也可在跟踪审查报告中填写，并一同报告。</w:t>
      </w:r>
    </w:p>
    <w:bookmarkEnd w:id="9"/>
    <w:p w14:paraId="1DF9247E">
      <w:pPr>
        <w:numPr>
          <w:ilvl w:val="0"/>
          <w:numId w:val="0"/>
        </w:numPr>
        <w:ind w:leftChars="0"/>
        <w:rPr>
          <w:rFonts w:hint="eastAsia"/>
          <w:sz w:val="24"/>
          <w:lang w:val="en-US" w:eastAsia="zh-CN"/>
        </w:rPr>
      </w:pPr>
    </w:p>
    <w:p w14:paraId="4D6E4CFF">
      <w:pPr>
        <w:numPr>
          <w:ilvl w:val="0"/>
          <w:numId w:val="2"/>
        </w:numPr>
        <w:spacing w:line="400" w:lineRule="exact"/>
        <w:ind w:left="357" w:hanging="357"/>
        <w:rPr>
          <w:rFonts w:hint="eastAsia" w:ascii="宋体" w:hAnsi="宋体"/>
          <w:sz w:val="24"/>
          <w:szCs w:val="24"/>
        </w:rPr>
      </w:pPr>
      <w:r>
        <w:rPr>
          <w:rFonts w:hint="eastAsia" w:ascii="宋体" w:hAnsi="宋体"/>
          <w:sz w:val="24"/>
          <w:szCs w:val="24"/>
        </w:rPr>
        <w:t>暂停或中止研究审查申请</w:t>
      </w:r>
    </w:p>
    <w:p w14:paraId="4AD846FA">
      <w:pPr>
        <w:numPr>
          <w:ilvl w:val="0"/>
          <w:numId w:val="3"/>
        </w:numPr>
        <w:spacing w:line="400" w:lineRule="exact"/>
        <w:rPr>
          <w:rFonts w:hint="eastAsia" w:ascii="宋体" w:hAnsi="宋体"/>
          <w:sz w:val="24"/>
          <w:szCs w:val="24"/>
        </w:rPr>
      </w:pPr>
      <w:r>
        <w:rPr>
          <w:rFonts w:hint="eastAsia" w:ascii="宋体" w:hAnsi="宋体"/>
          <w:sz w:val="24"/>
          <w:szCs w:val="24"/>
        </w:rPr>
        <w:t>研究者/申办者暂停或提前终止研究，</w:t>
      </w:r>
      <w:r>
        <w:rPr>
          <w:rFonts w:hint="eastAsia" w:ascii="宋体" w:hAnsi="宋体"/>
          <w:kern w:val="0"/>
          <w:sz w:val="24"/>
          <w:szCs w:val="24"/>
        </w:rPr>
        <w:t>应及时向伦理委员提交</w:t>
      </w:r>
      <w:r>
        <w:rPr>
          <w:rFonts w:hint="eastAsia" w:ascii="宋体" w:hAnsi="宋体"/>
          <w:sz w:val="24"/>
          <w:szCs w:val="24"/>
        </w:rPr>
        <w:t>暂停/中止研究审查申请。</w:t>
      </w:r>
    </w:p>
    <w:p w14:paraId="460686EF">
      <w:pPr>
        <w:numPr>
          <w:ilvl w:val="0"/>
          <w:numId w:val="2"/>
        </w:numPr>
        <w:spacing w:line="400" w:lineRule="exact"/>
        <w:ind w:left="357" w:hanging="357"/>
        <w:rPr>
          <w:rFonts w:hint="eastAsia" w:ascii="宋体" w:hAnsi="宋体"/>
          <w:sz w:val="24"/>
          <w:szCs w:val="24"/>
        </w:rPr>
      </w:pPr>
      <w:r>
        <w:rPr>
          <w:rFonts w:hint="eastAsia" w:ascii="宋体" w:hAnsi="宋体"/>
          <w:sz w:val="24"/>
          <w:szCs w:val="24"/>
        </w:rPr>
        <w:t>结题审查申请</w:t>
      </w:r>
    </w:p>
    <w:p w14:paraId="540C3BB0">
      <w:pPr>
        <w:numPr>
          <w:ilvl w:val="0"/>
          <w:numId w:val="3"/>
        </w:numPr>
        <w:spacing w:line="400" w:lineRule="exact"/>
        <w:rPr>
          <w:rFonts w:hint="eastAsia" w:ascii="宋体" w:hAnsi="宋体"/>
          <w:sz w:val="24"/>
          <w:szCs w:val="24"/>
        </w:rPr>
      </w:pPr>
      <w:r>
        <w:rPr>
          <w:rFonts w:hint="eastAsia" w:ascii="宋体" w:hAnsi="宋体"/>
          <w:sz w:val="24"/>
          <w:szCs w:val="24"/>
        </w:rPr>
        <w:t>完成</w:t>
      </w:r>
      <w:r>
        <w:rPr>
          <w:rFonts w:hint="eastAsia" w:ascii="宋体" w:hAnsi="宋体"/>
          <w:kern w:val="0"/>
          <w:sz w:val="24"/>
          <w:szCs w:val="24"/>
        </w:rPr>
        <w:t>研究，应及时向</w:t>
      </w:r>
      <w:r>
        <w:rPr>
          <w:rFonts w:hint="eastAsia" w:ascii="宋体" w:hAnsi="宋体"/>
          <w:kern w:val="0"/>
          <w:sz w:val="24"/>
          <w:szCs w:val="24"/>
          <w:lang w:eastAsia="zh-CN"/>
        </w:rPr>
        <w:t>伦理审查委员会</w:t>
      </w:r>
      <w:r>
        <w:rPr>
          <w:rFonts w:hint="eastAsia" w:ascii="宋体" w:hAnsi="宋体"/>
          <w:sz w:val="24"/>
          <w:szCs w:val="24"/>
        </w:rPr>
        <w:t>提交结题审查申请。</w:t>
      </w:r>
    </w:p>
    <w:p w14:paraId="446FBC8B">
      <w:pPr>
        <w:spacing w:line="400" w:lineRule="exact"/>
        <w:rPr>
          <w:rFonts w:ascii="宋体" w:hAnsi="宋体"/>
          <w:b/>
          <w:sz w:val="24"/>
          <w:szCs w:val="24"/>
        </w:rPr>
      </w:pPr>
    </w:p>
    <w:p w14:paraId="3AAE8674">
      <w:pPr>
        <w:numPr>
          <w:ilvl w:val="0"/>
          <w:numId w:val="7"/>
        </w:numPr>
        <w:spacing w:line="400" w:lineRule="exact"/>
        <w:rPr>
          <w:rFonts w:hint="eastAsia" w:ascii="宋体" w:hAnsi="宋体"/>
          <w:b/>
          <w:color w:val="0066FF"/>
          <w:sz w:val="24"/>
          <w:szCs w:val="24"/>
        </w:rPr>
      </w:pPr>
      <w:r>
        <w:rPr>
          <w:rFonts w:hint="eastAsia" w:ascii="宋体" w:hAnsi="宋体"/>
          <w:b/>
          <w:color w:val="0066FF"/>
          <w:sz w:val="24"/>
          <w:szCs w:val="24"/>
        </w:rPr>
        <w:t>提交伦理审查申请的流程</w:t>
      </w:r>
    </w:p>
    <w:p w14:paraId="363FB349">
      <w:pPr>
        <w:numPr>
          <w:ilvl w:val="0"/>
          <w:numId w:val="8"/>
        </w:numPr>
        <w:spacing w:line="400" w:lineRule="exact"/>
        <w:ind w:left="420" w:leftChars="0" w:hanging="420" w:firstLineChars="0"/>
        <w:rPr>
          <w:rFonts w:hint="default" w:ascii="宋体" w:hAnsi="宋体" w:eastAsia="宋体"/>
          <w:b/>
          <w:color w:val="0066FF"/>
          <w:sz w:val="24"/>
          <w:szCs w:val="24"/>
          <w:lang w:val="en-US" w:eastAsia="zh-CN"/>
        </w:rPr>
      </w:pPr>
      <w:r>
        <w:rPr>
          <w:rFonts w:hint="eastAsia" w:ascii="宋体" w:hAnsi="宋体"/>
          <w:b/>
          <w:color w:val="0066FF"/>
          <w:sz w:val="24"/>
          <w:szCs w:val="24"/>
          <w:lang w:val="en-US" w:eastAsia="zh-CN"/>
        </w:rPr>
        <w:t>药物/</w:t>
      </w:r>
      <w:r>
        <w:rPr>
          <w:rFonts w:hint="eastAsia" w:ascii="宋体" w:hAnsi="宋体" w:cs="Arial"/>
          <w:kern w:val="0"/>
          <w:sz w:val="24"/>
          <w:szCs w:val="24"/>
        </w:rPr>
        <w:t>医疗器械</w:t>
      </w:r>
      <w:r>
        <w:rPr>
          <w:rFonts w:hint="eastAsia" w:ascii="宋体" w:hAnsi="宋体" w:cs="Arial"/>
          <w:kern w:val="0"/>
          <w:sz w:val="24"/>
          <w:szCs w:val="24"/>
          <w:lang w:val="en-US" w:eastAsia="zh-CN"/>
        </w:rPr>
        <w:t>注册</w:t>
      </w:r>
      <w:r>
        <w:rPr>
          <w:rFonts w:hint="eastAsia" w:ascii="宋体" w:hAnsi="宋体" w:cs="Arial"/>
          <w:kern w:val="0"/>
          <w:sz w:val="24"/>
          <w:szCs w:val="24"/>
        </w:rPr>
        <w:t>临床试验项目</w:t>
      </w:r>
    </w:p>
    <w:p w14:paraId="00983FDD">
      <w:pPr>
        <w:numPr>
          <w:ilvl w:val="0"/>
          <w:numId w:val="0"/>
        </w:numPr>
        <w:spacing w:line="400" w:lineRule="exact"/>
        <w:ind w:leftChars="0" w:firstLine="480" w:firstLineChars="200"/>
        <w:rPr>
          <w:rFonts w:hint="default" w:ascii="宋体" w:hAnsi="宋体" w:eastAsia="宋体"/>
          <w:b/>
          <w:color w:val="0066FF"/>
          <w:sz w:val="24"/>
          <w:szCs w:val="24"/>
          <w:lang w:val="en-US" w:eastAsia="zh-CN"/>
        </w:rPr>
      </w:pPr>
      <w:r>
        <w:rPr>
          <w:rFonts w:hint="eastAsia" w:ascii="宋体" w:hAnsi="宋体" w:cs="Arial"/>
          <w:kern w:val="0"/>
          <w:sz w:val="24"/>
          <w:szCs w:val="24"/>
          <w:lang w:val="en-US" w:eastAsia="zh-CN"/>
        </w:rPr>
        <w:t>从CTMS系统进行上传和填写。</w:t>
      </w:r>
    </w:p>
    <w:p w14:paraId="328D1181">
      <w:pPr>
        <w:numPr>
          <w:ilvl w:val="0"/>
          <w:numId w:val="8"/>
        </w:numPr>
        <w:spacing w:line="400" w:lineRule="exact"/>
        <w:ind w:left="420" w:leftChars="0" w:hanging="420" w:firstLineChars="0"/>
        <w:rPr>
          <w:rFonts w:hint="eastAsia" w:ascii="宋体" w:hAnsi="宋体"/>
          <w:b/>
          <w:color w:val="0066FF"/>
          <w:sz w:val="24"/>
          <w:szCs w:val="24"/>
        </w:rPr>
      </w:pPr>
      <w:r>
        <w:rPr>
          <w:rFonts w:hint="eastAsia" w:ascii="宋体" w:hAnsi="宋体"/>
          <w:b/>
          <w:color w:val="0066FF"/>
          <w:sz w:val="24"/>
          <w:szCs w:val="24"/>
          <w:lang w:val="en-US" w:eastAsia="zh-CN"/>
        </w:rPr>
        <w:t>研究者发起的项目提交纸板文件一套</w:t>
      </w:r>
    </w:p>
    <w:p w14:paraId="3FD96F71">
      <w:pPr>
        <w:pStyle w:val="2"/>
        <w:numPr>
          <w:ilvl w:val="0"/>
          <w:numId w:val="0"/>
        </w:numPr>
        <w:spacing w:line="400" w:lineRule="exact"/>
        <w:ind w:firstLine="480" w:firstLineChars="200"/>
        <w:rPr>
          <w:rFonts w:hint="eastAsia" w:ascii="宋体" w:hAnsi="宋体"/>
          <w:sz w:val="24"/>
        </w:rPr>
      </w:pPr>
      <w:r>
        <w:rPr>
          <w:rFonts w:hint="eastAsia" w:ascii="宋体" w:hAnsi="宋体"/>
          <w:sz w:val="24"/>
        </w:rPr>
        <w:t>根据</w:t>
      </w:r>
      <w:r>
        <w:rPr>
          <w:rFonts w:hint="eastAsia" w:ascii="宋体" w:hAnsi="宋体"/>
          <w:b/>
          <w:sz w:val="24"/>
          <w:u w:val="wave"/>
        </w:rPr>
        <w:t>送审文件清单</w:t>
      </w:r>
      <w:r>
        <w:rPr>
          <w:rFonts w:hint="eastAsia" w:ascii="宋体" w:hAnsi="宋体"/>
          <w:sz w:val="24"/>
        </w:rPr>
        <w:t>，准备送审文件</w:t>
      </w:r>
    </w:p>
    <w:p w14:paraId="14AD9BE6">
      <w:pPr>
        <w:pStyle w:val="2"/>
        <w:spacing w:line="400" w:lineRule="exact"/>
        <w:ind w:left="0" w:leftChars="0" w:firstLine="0" w:firstLineChars="0"/>
        <w:rPr>
          <w:rFonts w:hint="eastAsia" w:ascii="宋体" w:hAnsi="宋体"/>
          <w:sz w:val="24"/>
        </w:rPr>
      </w:pPr>
    </w:p>
    <w:p w14:paraId="71388E26">
      <w:pPr>
        <w:numPr>
          <w:ilvl w:val="0"/>
          <w:numId w:val="9"/>
        </w:numPr>
        <w:spacing w:line="400" w:lineRule="exact"/>
        <w:rPr>
          <w:rFonts w:hint="eastAsia" w:ascii="宋体" w:hAnsi="宋体"/>
          <w:sz w:val="24"/>
          <w:szCs w:val="24"/>
        </w:rPr>
      </w:pPr>
      <w:r>
        <w:rPr>
          <w:rFonts w:hint="eastAsia" w:ascii="宋体" w:hAnsi="宋体"/>
          <w:sz w:val="24"/>
          <w:szCs w:val="24"/>
        </w:rPr>
        <w:t>领取通知</w:t>
      </w:r>
    </w:p>
    <w:p w14:paraId="3DAF7056">
      <w:pPr>
        <w:pStyle w:val="2"/>
        <w:numPr>
          <w:ilvl w:val="1"/>
          <w:numId w:val="9"/>
        </w:numPr>
        <w:spacing w:line="400" w:lineRule="exact"/>
        <w:ind w:firstLineChars="0"/>
        <w:rPr>
          <w:rFonts w:hint="eastAsia" w:ascii="宋体" w:hAnsi="宋体"/>
          <w:sz w:val="24"/>
        </w:rPr>
      </w:pPr>
      <w:r>
        <w:rPr>
          <w:rFonts w:hint="eastAsia" w:ascii="宋体" w:hAnsi="宋体"/>
          <w:sz w:val="24"/>
          <w:lang w:eastAsia="zh-CN"/>
        </w:rPr>
        <w:t>伦理审查委员会</w:t>
      </w:r>
      <w:r>
        <w:rPr>
          <w:rFonts w:hint="eastAsia" w:ascii="宋体" w:hAnsi="宋体"/>
          <w:sz w:val="24"/>
        </w:rPr>
        <w:t>办公室在收到材料后完成对送审材料的形式审查，</w:t>
      </w:r>
    </w:p>
    <w:p w14:paraId="677A032E">
      <w:pPr>
        <w:pStyle w:val="2"/>
        <w:numPr>
          <w:ilvl w:val="2"/>
          <w:numId w:val="9"/>
        </w:numPr>
        <w:spacing w:line="400" w:lineRule="exact"/>
        <w:ind w:firstLineChars="0"/>
        <w:rPr>
          <w:rFonts w:hint="eastAsia" w:ascii="宋体" w:hAnsi="宋体"/>
          <w:sz w:val="24"/>
        </w:rPr>
      </w:pPr>
      <w:r>
        <w:rPr>
          <w:rFonts w:hint="eastAsia" w:ascii="宋体" w:hAnsi="宋体"/>
          <w:sz w:val="24"/>
        </w:rPr>
        <w:t>如果认为送审文件不完整，文件要素有缺陷，告知缺项文件、缺陷的要素，以及最近审查会议前的送审截止日期；</w:t>
      </w:r>
    </w:p>
    <w:p w14:paraId="6D070AE1">
      <w:pPr>
        <w:pStyle w:val="2"/>
        <w:numPr>
          <w:ilvl w:val="2"/>
          <w:numId w:val="9"/>
        </w:numPr>
        <w:spacing w:line="400" w:lineRule="exact"/>
        <w:ind w:firstLineChars="0"/>
        <w:rPr>
          <w:rFonts w:hint="eastAsia" w:ascii="宋体" w:hAnsi="宋体"/>
          <w:sz w:val="24"/>
        </w:rPr>
      </w:pPr>
      <w:r>
        <w:rPr>
          <w:rFonts w:hint="eastAsia" w:ascii="宋体" w:hAnsi="宋体"/>
          <w:sz w:val="24"/>
        </w:rPr>
        <w:t>通过形式审查，受理申请，告知审查方式，审查日期和地点；</w:t>
      </w:r>
    </w:p>
    <w:p w14:paraId="1C1BADA6">
      <w:pPr>
        <w:numPr>
          <w:ilvl w:val="0"/>
          <w:numId w:val="9"/>
        </w:numPr>
        <w:spacing w:line="400" w:lineRule="exact"/>
        <w:rPr>
          <w:rFonts w:hint="eastAsia" w:ascii="宋体" w:hAnsi="宋体"/>
          <w:sz w:val="24"/>
          <w:szCs w:val="24"/>
        </w:rPr>
      </w:pPr>
      <w:r>
        <w:rPr>
          <w:rFonts w:hint="eastAsia" w:ascii="宋体" w:hAnsi="宋体"/>
          <w:sz w:val="24"/>
          <w:szCs w:val="24"/>
        </w:rPr>
        <w:t>会议报告和回答问题的准备</w:t>
      </w:r>
    </w:p>
    <w:p w14:paraId="68E0EF6F">
      <w:pPr>
        <w:pStyle w:val="2"/>
        <w:numPr>
          <w:ilvl w:val="0"/>
          <w:numId w:val="10"/>
        </w:numPr>
        <w:spacing w:line="400" w:lineRule="exact"/>
        <w:ind w:firstLineChars="0"/>
        <w:rPr>
          <w:rFonts w:hint="eastAsia" w:ascii="宋体" w:hAnsi="宋体"/>
          <w:sz w:val="24"/>
        </w:rPr>
      </w:pPr>
      <w:r>
        <w:rPr>
          <w:rFonts w:hint="eastAsia" w:ascii="宋体" w:hAnsi="宋体"/>
          <w:sz w:val="24"/>
        </w:rPr>
        <w:t>会议召开前1周，</w:t>
      </w:r>
      <w:r>
        <w:rPr>
          <w:rFonts w:hint="eastAsia" w:ascii="宋体" w:hAnsi="宋体"/>
          <w:sz w:val="24"/>
          <w:lang w:eastAsia="zh-CN"/>
        </w:rPr>
        <w:t>伦理审查委员会</w:t>
      </w:r>
      <w:r>
        <w:rPr>
          <w:rFonts w:hint="eastAsia" w:ascii="宋体" w:hAnsi="宋体"/>
          <w:sz w:val="24"/>
        </w:rPr>
        <w:t>办公室通知研究者到会汇报审查项目的具体时间和地点。到会研究者需熟悉和了解整个研究方案，并事先进行准备，提前15分钟到达会场。</w:t>
      </w:r>
    </w:p>
    <w:p w14:paraId="02CD8285">
      <w:pPr>
        <w:spacing w:line="400" w:lineRule="exact"/>
        <w:rPr>
          <w:rFonts w:hint="eastAsia" w:ascii="宋体" w:hAnsi="宋体"/>
          <w:b/>
          <w:sz w:val="24"/>
          <w:szCs w:val="24"/>
        </w:rPr>
      </w:pPr>
      <w:r>
        <w:rPr>
          <w:rFonts w:hint="eastAsia" w:ascii="宋体" w:hAnsi="宋体"/>
          <w:b/>
          <w:sz w:val="24"/>
          <w:szCs w:val="24"/>
        </w:rPr>
        <w:t>4. 伦理审查的时间</w:t>
      </w:r>
    </w:p>
    <w:p w14:paraId="12E9198C">
      <w:pPr>
        <w:spacing w:line="400" w:lineRule="exact"/>
        <w:ind w:firstLine="480"/>
        <w:rPr>
          <w:rFonts w:hint="eastAsia" w:ascii="宋体" w:hAnsi="宋体" w:eastAsia="宋体"/>
          <w:sz w:val="24"/>
          <w:szCs w:val="24"/>
          <w:lang w:eastAsia="zh-CN"/>
        </w:rPr>
      </w:pPr>
      <w:r>
        <w:rPr>
          <w:rFonts w:hint="eastAsia" w:ascii="宋体" w:hAnsi="宋体"/>
          <w:sz w:val="24"/>
          <w:szCs w:val="24"/>
          <w:lang w:eastAsia="zh-CN"/>
        </w:rPr>
        <w:t>伦理审查委员会</w:t>
      </w:r>
      <w:r>
        <w:rPr>
          <w:rFonts w:hint="eastAsia" w:ascii="宋体" w:hAnsi="宋体"/>
          <w:sz w:val="24"/>
          <w:szCs w:val="24"/>
        </w:rPr>
        <w:t>一般每月召开一次审查会议，预计</w:t>
      </w:r>
      <w:r>
        <w:rPr>
          <w:rFonts w:hint="eastAsia" w:ascii="宋体" w:hAnsi="宋体"/>
          <w:sz w:val="24"/>
          <w:szCs w:val="24"/>
          <w:highlight w:val="cyan"/>
        </w:rPr>
        <w:t>开会时间可在</w:t>
      </w:r>
      <w:r>
        <w:rPr>
          <w:rFonts w:ascii="宋体" w:hAnsi="宋体"/>
          <w:sz w:val="24"/>
          <w:szCs w:val="24"/>
          <w:highlight w:val="cyan"/>
        </w:rPr>
        <w:fldChar w:fldCharType="begin"/>
      </w:r>
      <w:r>
        <w:rPr>
          <w:rFonts w:ascii="宋体" w:hAnsi="宋体"/>
          <w:sz w:val="24"/>
          <w:szCs w:val="24"/>
          <w:highlight w:val="cyan"/>
        </w:rPr>
        <w:instrText xml:space="preserve"> HYPERLINK "http://www.bjad.com.cn" </w:instrText>
      </w:r>
      <w:r>
        <w:rPr>
          <w:rFonts w:ascii="宋体" w:hAnsi="宋体"/>
          <w:sz w:val="24"/>
          <w:szCs w:val="24"/>
          <w:highlight w:val="cyan"/>
        </w:rPr>
        <w:fldChar w:fldCharType="separate"/>
      </w:r>
      <w:r>
        <w:rPr>
          <w:rStyle w:val="7"/>
          <w:rFonts w:ascii="宋体" w:hAnsi="宋体"/>
          <w:sz w:val="24"/>
          <w:szCs w:val="24"/>
          <w:highlight w:val="cyan"/>
        </w:rPr>
        <w:t>http://www.bjad.com.cn</w:t>
      </w:r>
      <w:r>
        <w:rPr>
          <w:rFonts w:ascii="宋体" w:hAnsi="宋体"/>
          <w:sz w:val="24"/>
          <w:szCs w:val="24"/>
          <w:highlight w:val="cyan"/>
        </w:rPr>
        <w:fldChar w:fldCharType="end"/>
      </w:r>
      <w:r>
        <w:rPr>
          <w:rFonts w:hint="eastAsia" w:ascii="宋体" w:hAnsi="宋体"/>
          <w:sz w:val="24"/>
          <w:szCs w:val="24"/>
          <w:highlight w:val="cyan"/>
        </w:rPr>
        <w:t>的科研工作—医学伦理栏中找到。</w:t>
      </w:r>
      <w:r>
        <w:rPr>
          <w:rFonts w:hint="eastAsia" w:ascii="宋体" w:hAnsi="宋体"/>
          <w:sz w:val="24"/>
          <w:szCs w:val="24"/>
        </w:rPr>
        <w:t>受理材料的</w:t>
      </w:r>
      <w:r>
        <w:rPr>
          <w:rFonts w:hint="eastAsia" w:ascii="宋体" w:hAnsi="宋体" w:eastAsia="宋体" w:cs="Times New Roman"/>
          <w:sz w:val="24"/>
          <w:szCs w:val="24"/>
        </w:rPr>
        <w:t>截止日期为会议审查</w:t>
      </w:r>
      <w:r>
        <w:rPr>
          <w:rFonts w:hint="eastAsia" w:ascii="宋体" w:hAnsi="宋体"/>
          <w:sz w:val="24"/>
          <w:szCs w:val="24"/>
        </w:rPr>
        <w:t>2周前（10个工作日）</w:t>
      </w:r>
      <w:r>
        <w:rPr>
          <w:rFonts w:hint="eastAsia" w:ascii="宋体" w:hAnsi="宋体"/>
          <w:sz w:val="24"/>
          <w:szCs w:val="24"/>
          <w:lang w:eastAsia="zh-CN"/>
        </w:rPr>
        <w:t>。</w:t>
      </w:r>
    </w:p>
    <w:p w14:paraId="061B1F9E">
      <w:pPr>
        <w:spacing w:line="400" w:lineRule="exact"/>
        <w:ind w:firstLine="480" w:firstLineChars="200"/>
        <w:rPr>
          <w:rFonts w:hint="eastAsia" w:ascii="宋体" w:hAnsi="宋体"/>
          <w:sz w:val="24"/>
          <w:szCs w:val="24"/>
        </w:rPr>
      </w:pPr>
      <w:r>
        <w:rPr>
          <w:rFonts w:hint="eastAsia" w:ascii="宋体" w:hAnsi="宋体"/>
          <w:sz w:val="24"/>
          <w:szCs w:val="24"/>
        </w:rPr>
        <w:t>研究过程中出现重大或严重问题，危及</w:t>
      </w:r>
      <w:r>
        <w:rPr>
          <w:rFonts w:hint="eastAsia" w:ascii="宋体" w:hAnsi="宋体"/>
          <w:sz w:val="24"/>
          <w:szCs w:val="24"/>
          <w:lang w:eastAsia="zh-CN"/>
        </w:rPr>
        <w:t>研究参与者</w:t>
      </w:r>
      <w:r>
        <w:rPr>
          <w:rFonts w:hint="eastAsia" w:ascii="宋体" w:hAnsi="宋体"/>
          <w:sz w:val="24"/>
          <w:szCs w:val="24"/>
        </w:rPr>
        <w:t>安全时，或发生其它需要</w:t>
      </w:r>
      <w:r>
        <w:rPr>
          <w:rFonts w:hint="eastAsia" w:ascii="宋体" w:hAnsi="宋体"/>
          <w:sz w:val="24"/>
          <w:szCs w:val="24"/>
          <w:lang w:eastAsia="zh-CN"/>
        </w:rPr>
        <w:t>伦理审查委员会</w:t>
      </w:r>
      <w:r>
        <w:rPr>
          <w:rFonts w:hint="eastAsia" w:ascii="宋体" w:hAnsi="宋体"/>
          <w:sz w:val="24"/>
          <w:szCs w:val="24"/>
        </w:rPr>
        <w:t>召开会议进行紧急审查和决定的情况，</w:t>
      </w:r>
      <w:r>
        <w:rPr>
          <w:rFonts w:hint="eastAsia" w:ascii="宋体" w:hAnsi="宋体"/>
          <w:sz w:val="24"/>
          <w:szCs w:val="24"/>
          <w:lang w:eastAsia="zh-CN"/>
        </w:rPr>
        <w:t>伦理审查委员会</w:t>
      </w:r>
      <w:r>
        <w:rPr>
          <w:rFonts w:hint="eastAsia" w:ascii="宋体" w:hAnsi="宋体"/>
          <w:sz w:val="24"/>
          <w:szCs w:val="24"/>
        </w:rPr>
        <w:t>将召开紧急会议进行审查。</w:t>
      </w:r>
    </w:p>
    <w:p w14:paraId="3E85598A">
      <w:pPr>
        <w:spacing w:line="400" w:lineRule="exact"/>
        <w:rPr>
          <w:rFonts w:hint="eastAsia" w:ascii="宋体" w:hAnsi="宋体"/>
          <w:b/>
          <w:sz w:val="24"/>
          <w:szCs w:val="24"/>
        </w:rPr>
      </w:pPr>
      <w:r>
        <w:rPr>
          <w:rFonts w:hint="eastAsia" w:ascii="宋体" w:hAnsi="宋体"/>
          <w:b/>
          <w:sz w:val="24"/>
          <w:szCs w:val="24"/>
        </w:rPr>
        <w:t>5. 审查决定的传达</w:t>
      </w:r>
    </w:p>
    <w:p w14:paraId="0BF418B9">
      <w:pPr>
        <w:spacing w:line="400" w:lineRule="exact"/>
        <w:ind w:firstLine="480"/>
        <w:rPr>
          <w:rFonts w:hint="eastAsia" w:ascii="宋体" w:hAnsi="宋体"/>
          <w:sz w:val="24"/>
          <w:szCs w:val="24"/>
        </w:rPr>
      </w:pPr>
      <w:r>
        <w:rPr>
          <w:rFonts w:hint="eastAsia" w:ascii="宋体" w:hAnsi="宋体"/>
          <w:sz w:val="24"/>
          <w:szCs w:val="24"/>
          <w:lang w:eastAsia="zh-CN"/>
        </w:rPr>
        <w:t>伦理审查委员会</w:t>
      </w:r>
      <w:r>
        <w:rPr>
          <w:rFonts w:hint="eastAsia" w:ascii="宋体" w:hAnsi="宋体"/>
          <w:sz w:val="24"/>
          <w:szCs w:val="24"/>
        </w:rPr>
        <w:t>办公室在获得伦理审查决定后1周内通知其至</w:t>
      </w:r>
      <w:r>
        <w:rPr>
          <w:rFonts w:hint="eastAsia" w:ascii="宋体" w:hAnsi="宋体"/>
          <w:sz w:val="24"/>
          <w:szCs w:val="24"/>
          <w:lang w:eastAsia="zh-CN"/>
        </w:rPr>
        <w:t>伦理审查委员会</w:t>
      </w:r>
      <w:r>
        <w:rPr>
          <w:rFonts w:hint="eastAsia" w:ascii="宋体" w:hAnsi="宋体"/>
          <w:sz w:val="24"/>
          <w:szCs w:val="24"/>
        </w:rPr>
        <w:t>办公室领取 “伦理审查批件”或“伦理审查意见”书面文件。若跟踪审查（包括，年度/定期跟</w:t>
      </w:r>
      <w:r>
        <w:rPr>
          <w:rFonts w:hint="eastAsia" w:ascii="宋体" w:hAnsi="宋体"/>
          <w:sz w:val="24"/>
          <w:szCs w:val="24"/>
          <w:highlight w:val="none"/>
        </w:rPr>
        <w:t>踪审查、</w:t>
      </w:r>
      <w:r>
        <w:rPr>
          <w:rFonts w:hint="eastAsia" w:ascii="宋体" w:hAnsi="宋体"/>
          <w:sz w:val="24"/>
          <w:szCs w:val="24"/>
          <w:highlight w:val="none"/>
          <w:lang w:val="en-US" w:eastAsia="zh-CN"/>
        </w:rPr>
        <w:t>安全性事件</w:t>
      </w:r>
      <w:r>
        <w:rPr>
          <w:rFonts w:hint="eastAsia" w:ascii="宋体" w:hAnsi="宋体"/>
          <w:sz w:val="24"/>
          <w:szCs w:val="24"/>
          <w:highlight w:val="none"/>
        </w:rPr>
        <w:t>报告审查、</w:t>
      </w:r>
      <w:r>
        <w:rPr>
          <w:rFonts w:hint="eastAsia" w:ascii="宋体" w:hAnsi="宋体"/>
          <w:sz w:val="24"/>
          <w:szCs w:val="24"/>
          <w:highlight w:val="none"/>
          <w:lang w:val="en-US" w:eastAsia="zh-CN"/>
        </w:rPr>
        <w:t>方案偏离</w:t>
      </w:r>
      <w:r>
        <w:rPr>
          <w:rFonts w:hint="eastAsia" w:ascii="宋体" w:hAnsi="宋体"/>
          <w:sz w:val="24"/>
          <w:szCs w:val="24"/>
          <w:highlight w:val="none"/>
        </w:rPr>
        <w:t>审</w:t>
      </w:r>
      <w:r>
        <w:rPr>
          <w:rFonts w:hint="eastAsia" w:ascii="宋体" w:hAnsi="宋体"/>
          <w:sz w:val="24"/>
          <w:szCs w:val="24"/>
        </w:rPr>
        <w:t>查、结题审查、</w:t>
      </w:r>
      <w:r>
        <w:rPr>
          <w:rFonts w:hint="eastAsia" w:ascii="宋体" w:hAnsi="宋体"/>
          <w:sz w:val="24"/>
          <w:szCs w:val="24"/>
          <w:highlight w:val="none"/>
        </w:rPr>
        <w:t>修正案审查</w:t>
      </w:r>
      <w:r>
        <w:rPr>
          <w:rFonts w:hint="eastAsia" w:ascii="宋体" w:hAnsi="宋体"/>
          <w:sz w:val="24"/>
          <w:szCs w:val="24"/>
        </w:rPr>
        <w:t>）的结果不影响研究的继续进行，将通过</w:t>
      </w:r>
      <w:r>
        <w:rPr>
          <w:rFonts w:hint="eastAsia" w:ascii="宋体" w:hAnsi="宋体"/>
          <w:sz w:val="24"/>
          <w:szCs w:val="24"/>
          <w:lang w:val="en-US" w:eastAsia="zh-CN"/>
        </w:rPr>
        <w:t>伦理审查批件/</w:t>
      </w:r>
      <w:r>
        <w:rPr>
          <w:rFonts w:hint="eastAsia" w:ascii="宋体" w:hAnsi="宋体"/>
          <w:sz w:val="24"/>
          <w:szCs w:val="24"/>
          <w:lang w:eastAsia="zh-CN"/>
        </w:rPr>
        <w:t>“</w:t>
      </w:r>
      <w:r>
        <w:rPr>
          <w:rFonts w:hint="eastAsia" w:ascii="宋体" w:hAnsi="宋体"/>
          <w:sz w:val="24"/>
          <w:szCs w:val="24"/>
          <w:lang w:val="en-US" w:eastAsia="zh-CN"/>
        </w:rPr>
        <w:t>审查申请表</w:t>
      </w:r>
      <w:r>
        <w:rPr>
          <w:rFonts w:hint="eastAsia" w:ascii="宋体" w:hAnsi="宋体"/>
          <w:sz w:val="24"/>
          <w:szCs w:val="24"/>
          <w:lang w:eastAsia="zh-CN"/>
        </w:rPr>
        <w:t>”“</w:t>
      </w:r>
      <w:r>
        <w:rPr>
          <w:rFonts w:hint="eastAsia" w:ascii="宋体" w:hAnsi="宋体"/>
          <w:sz w:val="24"/>
          <w:szCs w:val="24"/>
          <w:lang w:val="en-US" w:eastAsia="zh-CN"/>
        </w:rPr>
        <w:t>主审审查工作表</w:t>
      </w:r>
      <w:r>
        <w:rPr>
          <w:rFonts w:hint="eastAsia" w:ascii="宋体" w:hAnsi="宋体"/>
          <w:sz w:val="24"/>
          <w:szCs w:val="24"/>
          <w:lang w:eastAsia="zh-CN"/>
        </w:rPr>
        <w:t>”</w:t>
      </w:r>
      <w:r>
        <w:rPr>
          <w:rFonts w:hint="eastAsia" w:ascii="宋体" w:hAnsi="宋体"/>
          <w:sz w:val="24"/>
          <w:szCs w:val="24"/>
        </w:rPr>
        <w:t>“审查结果回执单”</w:t>
      </w:r>
      <w:r>
        <w:rPr>
          <w:rFonts w:hint="eastAsia" w:ascii="宋体" w:hAnsi="宋体"/>
          <w:sz w:val="24"/>
          <w:szCs w:val="24"/>
          <w:lang w:eastAsia="zh-CN"/>
        </w:rPr>
        <w:t>（</w:t>
      </w:r>
      <w:r>
        <w:rPr>
          <w:rFonts w:hint="eastAsia" w:ascii="宋体" w:hAnsi="宋体"/>
          <w:sz w:val="24"/>
          <w:szCs w:val="24"/>
          <w:lang w:val="en-US" w:eastAsia="zh-CN"/>
        </w:rPr>
        <w:t>三合一</w:t>
      </w:r>
      <w:r>
        <w:rPr>
          <w:rFonts w:hint="eastAsia" w:ascii="宋体" w:hAnsi="宋体"/>
          <w:sz w:val="24"/>
          <w:szCs w:val="24"/>
          <w:lang w:eastAsia="zh-CN"/>
        </w:rPr>
        <w:t>）</w:t>
      </w:r>
      <w:r>
        <w:rPr>
          <w:rFonts w:hint="eastAsia" w:ascii="宋体" w:hAnsi="宋体"/>
          <w:sz w:val="24"/>
          <w:szCs w:val="24"/>
        </w:rPr>
        <w:t>的形式告知审查结果；若有修改/整改意见等将以“伦理审查意见”书面文件形式进行传达。</w:t>
      </w:r>
    </w:p>
    <w:p w14:paraId="43E148E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78290B"/>
    <w:multiLevelType w:val="singleLevel"/>
    <w:tmpl w:val="E478290B"/>
    <w:lvl w:ilvl="0" w:tentative="0">
      <w:start w:val="3"/>
      <w:numFmt w:val="decimal"/>
      <w:suff w:val="nothing"/>
      <w:lvlText w:val="%1．"/>
      <w:lvlJc w:val="left"/>
    </w:lvl>
  </w:abstractNum>
  <w:abstractNum w:abstractNumId="1">
    <w:nsid w:val="03157AA5"/>
    <w:multiLevelType w:val="multilevel"/>
    <w:tmpl w:val="03157AA5"/>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043A66B1"/>
    <w:multiLevelType w:val="multilevel"/>
    <w:tmpl w:val="043A66B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1B746221"/>
    <w:multiLevelType w:val="multilevel"/>
    <w:tmpl w:val="1B746221"/>
    <w:lvl w:ilvl="0" w:tentative="0">
      <w:start w:val="2"/>
      <w:numFmt w:val="decimal"/>
      <w:lvlText w:val="%1）"/>
      <w:lvlJc w:val="left"/>
      <w:pPr>
        <w:tabs>
          <w:tab w:val="left" w:pos="360"/>
        </w:tabs>
        <w:ind w:left="360" w:hanging="360"/>
      </w:pPr>
      <w:rPr>
        <w:rFonts w:hint="default"/>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decimal"/>
      <w:lvlText w:val="（%3）"/>
      <w:lvlJc w:val="left"/>
      <w:pPr>
        <w:tabs>
          <w:tab w:val="left" w:pos="1560"/>
        </w:tabs>
        <w:ind w:left="1560" w:hanging="720"/>
      </w:pPr>
      <w:rPr>
        <w:rFonts w:hint="default"/>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342E07FA"/>
    <w:multiLevelType w:val="multilevel"/>
    <w:tmpl w:val="342E07FA"/>
    <w:lvl w:ilvl="0" w:tentative="0">
      <w:start w:val="1"/>
      <w:numFmt w:val="bullet"/>
      <w:lvlText w:val=""/>
      <w:lvlJc w:val="left"/>
      <w:pPr>
        <w:tabs>
          <w:tab w:val="left" w:pos="862"/>
        </w:tabs>
        <w:ind w:left="862" w:hanging="420"/>
      </w:pPr>
      <w:rPr>
        <w:rFonts w:hint="default" w:ascii="Wingdings" w:hAnsi="Wingdings"/>
      </w:rPr>
    </w:lvl>
    <w:lvl w:ilvl="1" w:tentative="0">
      <w:start w:val="1"/>
      <w:numFmt w:val="bullet"/>
      <w:lvlText w:val=""/>
      <w:lvlJc w:val="left"/>
      <w:pPr>
        <w:tabs>
          <w:tab w:val="left" w:pos="1282"/>
        </w:tabs>
        <w:ind w:left="1282" w:hanging="420"/>
      </w:pPr>
      <w:rPr>
        <w:rFonts w:hint="default" w:ascii="Wingdings" w:hAnsi="Wingdings"/>
      </w:rPr>
    </w:lvl>
    <w:lvl w:ilvl="2" w:tentative="0">
      <w:start w:val="1"/>
      <w:numFmt w:val="bullet"/>
      <w:lvlText w:val=""/>
      <w:lvlJc w:val="left"/>
      <w:pPr>
        <w:tabs>
          <w:tab w:val="left" w:pos="1702"/>
        </w:tabs>
        <w:ind w:left="1702" w:hanging="420"/>
      </w:pPr>
      <w:rPr>
        <w:rFonts w:hint="default" w:ascii="Wingdings" w:hAnsi="Wingdings"/>
      </w:rPr>
    </w:lvl>
    <w:lvl w:ilvl="3" w:tentative="0">
      <w:start w:val="1"/>
      <w:numFmt w:val="bullet"/>
      <w:lvlText w:val=""/>
      <w:lvlJc w:val="left"/>
      <w:pPr>
        <w:tabs>
          <w:tab w:val="left" w:pos="2122"/>
        </w:tabs>
        <w:ind w:left="2122" w:hanging="420"/>
      </w:pPr>
      <w:rPr>
        <w:rFonts w:hint="default" w:ascii="Wingdings" w:hAnsi="Wingdings"/>
      </w:rPr>
    </w:lvl>
    <w:lvl w:ilvl="4" w:tentative="0">
      <w:start w:val="1"/>
      <w:numFmt w:val="bullet"/>
      <w:lvlText w:val=""/>
      <w:lvlJc w:val="left"/>
      <w:pPr>
        <w:tabs>
          <w:tab w:val="left" w:pos="2542"/>
        </w:tabs>
        <w:ind w:left="2542" w:hanging="420"/>
      </w:pPr>
      <w:rPr>
        <w:rFonts w:hint="default" w:ascii="Wingdings" w:hAnsi="Wingdings"/>
      </w:rPr>
    </w:lvl>
    <w:lvl w:ilvl="5" w:tentative="0">
      <w:start w:val="1"/>
      <w:numFmt w:val="bullet"/>
      <w:lvlText w:val=""/>
      <w:lvlJc w:val="left"/>
      <w:pPr>
        <w:tabs>
          <w:tab w:val="left" w:pos="2962"/>
        </w:tabs>
        <w:ind w:left="2962" w:hanging="420"/>
      </w:pPr>
      <w:rPr>
        <w:rFonts w:hint="default" w:ascii="Wingdings" w:hAnsi="Wingdings"/>
      </w:rPr>
    </w:lvl>
    <w:lvl w:ilvl="6" w:tentative="0">
      <w:start w:val="1"/>
      <w:numFmt w:val="bullet"/>
      <w:lvlText w:val=""/>
      <w:lvlJc w:val="left"/>
      <w:pPr>
        <w:tabs>
          <w:tab w:val="left" w:pos="3382"/>
        </w:tabs>
        <w:ind w:left="3382" w:hanging="420"/>
      </w:pPr>
      <w:rPr>
        <w:rFonts w:hint="default" w:ascii="Wingdings" w:hAnsi="Wingdings"/>
      </w:rPr>
    </w:lvl>
    <w:lvl w:ilvl="7" w:tentative="0">
      <w:start w:val="1"/>
      <w:numFmt w:val="bullet"/>
      <w:lvlText w:val=""/>
      <w:lvlJc w:val="left"/>
      <w:pPr>
        <w:tabs>
          <w:tab w:val="left" w:pos="3802"/>
        </w:tabs>
        <w:ind w:left="3802" w:hanging="420"/>
      </w:pPr>
      <w:rPr>
        <w:rFonts w:hint="default" w:ascii="Wingdings" w:hAnsi="Wingdings"/>
      </w:rPr>
    </w:lvl>
    <w:lvl w:ilvl="8" w:tentative="0">
      <w:start w:val="1"/>
      <w:numFmt w:val="bullet"/>
      <w:lvlText w:val=""/>
      <w:lvlJc w:val="left"/>
      <w:pPr>
        <w:tabs>
          <w:tab w:val="left" w:pos="4222"/>
        </w:tabs>
        <w:ind w:left="4222" w:hanging="420"/>
      </w:pPr>
      <w:rPr>
        <w:rFonts w:hint="default" w:ascii="Wingdings" w:hAnsi="Wingdings"/>
      </w:rPr>
    </w:lvl>
  </w:abstractNum>
  <w:abstractNum w:abstractNumId="5">
    <w:nsid w:val="3D31876F"/>
    <w:multiLevelType w:val="singleLevel"/>
    <w:tmpl w:val="3D31876F"/>
    <w:lvl w:ilvl="0" w:tentative="0">
      <w:start w:val="1"/>
      <w:numFmt w:val="bullet"/>
      <w:lvlText w:val=""/>
      <w:lvlJc w:val="left"/>
      <w:pPr>
        <w:ind w:left="420" w:hanging="420"/>
      </w:pPr>
      <w:rPr>
        <w:rFonts w:hint="default" w:ascii="Wingdings" w:hAnsi="Wingdings"/>
      </w:rPr>
    </w:lvl>
  </w:abstractNum>
  <w:abstractNum w:abstractNumId="6">
    <w:nsid w:val="4E6363E7"/>
    <w:multiLevelType w:val="multilevel"/>
    <w:tmpl w:val="4E6363E7"/>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7">
    <w:nsid w:val="523929EC"/>
    <w:multiLevelType w:val="multilevel"/>
    <w:tmpl w:val="523929EC"/>
    <w:lvl w:ilvl="0" w:tentative="0">
      <w:start w:val="1"/>
      <w:numFmt w:val="bullet"/>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8">
    <w:nsid w:val="633F2AAB"/>
    <w:multiLevelType w:val="multilevel"/>
    <w:tmpl w:val="633F2AAB"/>
    <w:lvl w:ilvl="0" w:tentative="0">
      <w:start w:val="1"/>
      <w:numFmt w:val="bullet"/>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9">
    <w:nsid w:val="6AB56BE9"/>
    <w:multiLevelType w:val="multilevel"/>
    <w:tmpl w:val="6AB56BE9"/>
    <w:lvl w:ilvl="0" w:tentative="0">
      <w:start w:val="2"/>
      <w:numFmt w:val="decimal"/>
      <w:lvlText w:val="%1）"/>
      <w:lvlJc w:val="left"/>
      <w:pPr>
        <w:tabs>
          <w:tab w:val="left" w:pos="360"/>
        </w:tabs>
        <w:ind w:left="360" w:hanging="360"/>
      </w:pPr>
      <w:rPr>
        <w:rFonts w:hint="default"/>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7"/>
  </w:num>
  <w:num w:numId="2">
    <w:abstractNumId w:val="9"/>
  </w:num>
  <w:num w:numId="3">
    <w:abstractNumId w:val="8"/>
  </w:num>
  <w:num w:numId="4">
    <w:abstractNumId w:val="1"/>
  </w:num>
  <w:num w:numId="5">
    <w:abstractNumId w:val="6"/>
  </w:num>
  <w:num w:numId="6">
    <w:abstractNumId w:val="2"/>
  </w:num>
  <w:num w:numId="7">
    <w:abstractNumId w:val="0"/>
  </w:num>
  <w:num w:numId="8">
    <w:abstractNumId w:val="5"/>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DB453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semiHidden/>
    <w:qFormat/>
    <w:uiPriority w:val="0"/>
    <w:pPr>
      <w:ind w:firstLine="420" w:firstLineChars="200"/>
    </w:pPr>
    <w:rPr>
      <w:rFonts w:ascii="Times New Roman" w:hAnsi="Times New Roman"/>
      <w:szCs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unhideWhenUsed/>
    <w:qFormat/>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2026-10-08T02:47:51Z</dcterms:created>
  <dc:creator>HP</dc:creator>
  <cp:lastModifiedBy>HP</cp:lastModifiedBy>
  <dcterms:modified xsi:type="dcterms:W3CDTF">2026-10-08T02:48:06Z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eyJoZGlkIjoiZGU2ODhkNjllN2VmNDBmYTkxNzcyZTdkMjdiYzU5MzIiLCJ1c2VySWQiOiIxNjU3ODY4MTgzIn0=</vt:lpwstr>
  </property>
  <property fmtid="{D5CDD505-2E9C-101B-9397-08002B2CF9AE}" pid="4" name="ICV">
    <vt:lpwstr>8AFCB6BE131541FEB1441EC238A233F5_12</vt:lpwstr>
  </property>
</Properties>
</file>