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70F0">
      <w:pPr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附件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28"/>
          <w:szCs w:val="28"/>
        </w:rPr>
        <w:t xml:space="preserve">  </w:t>
      </w:r>
    </w:p>
    <w:p w14:paraId="0128CC70">
      <w:pPr>
        <w:snapToGrid w:val="0"/>
        <w:spacing w:line="360" w:lineRule="auto"/>
        <w:jc w:val="center"/>
        <w:rPr>
          <w:rFonts w:hint="eastAsia" w:ascii="仿宋_GB2312" w:eastAsia="仿宋_GB2312" w:hAnsiTheme="majorEastAsia"/>
          <w:b/>
          <w:sz w:val="36"/>
          <w:szCs w:val="36"/>
          <w:lang w:val="en-US" w:eastAsia="zh-CN"/>
        </w:rPr>
      </w:pPr>
      <w:r>
        <w:rPr>
          <w:rFonts w:hint="eastAsia" w:ascii="仿宋_GB2312" w:eastAsia="仿宋_GB2312" w:hAnsiTheme="majorEastAsia"/>
          <w:b/>
          <w:sz w:val="36"/>
          <w:szCs w:val="36"/>
        </w:rPr>
        <w:t>首都医科大学</w:t>
      </w:r>
      <w:r>
        <w:rPr>
          <w:rFonts w:hint="eastAsia" w:ascii="仿宋_GB2312" w:eastAsia="仿宋_GB2312" w:hAnsiTheme="majorEastAsia"/>
          <w:b/>
          <w:sz w:val="36"/>
          <w:szCs w:val="36"/>
          <w:lang w:val="en-US" w:eastAsia="zh-CN"/>
        </w:rPr>
        <w:t>精神卫生学院</w:t>
      </w:r>
      <w:r>
        <w:rPr>
          <w:rFonts w:hint="eastAsia" w:ascii="仿宋_GB2312" w:eastAsia="仿宋_GB2312" w:hAnsiTheme="majorEastAsia"/>
          <w:b/>
          <w:sz w:val="36"/>
          <w:szCs w:val="36"/>
        </w:rPr>
        <w:t>博士“申请-考核”制</w:t>
      </w:r>
    </w:p>
    <w:p w14:paraId="45B4EEE3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>
        <w:rPr>
          <w:rFonts w:hint="eastAsia" w:ascii="仿宋_GB2312" w:eastAsia="仿宋_GB2312" w:hAnsiTheme="majorEastAsia"/>
          <w:b/>
          <w:sz w:val="36"/>
          <w:szCs w:val="36"/>
          <w:lang w:val="en-US" w:eastAsia="zh-CN"/>
        </w:rPr>
        <w:t>材料审查</w:t>
      </w:r>
      <w:r>
        <w:rPr>
          <w:rFonts w:hint="eastAsia" w:ascii="仿宋_GB2312" w:eastAsia="仿宋_GB2312" w:hAnsiTheme="majorEastAsia"/>
          <w:b/>
          <w:sz w:val="36"/>
          <w:szCs w:val="36"/>
        </w:rPr>
        <w:t>评分细则</w:t>
      </w:r>
    </w:p>
    <w:p w14:paraId="39DFEBCD">
      <w:pPr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资格审查总分=材料基础分（10分）+科研成果得分+其他表现得分</w:t>
      </w:r>
    </w:p>
    <w:p w14:paraId="2D7572D9">
      <w:pPr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一、材料基础分</w:t>
      </w:r>
    </w:p>
    <w:p w14:paraId="4E34B1E2">
      <w:pPr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材料是否按照要求（命名方式、材料格式等）提供，满分10分，出现一处错误扣1分，扣完为止。</w:t>
      </w:r>
    </w:p>
    <w:p w14:paraId="73AF8BEB">
      <w:pPr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二、材料审核评分</w:t>
      </w:r>
    </w:p>
    <w:p w14:paraId="312F6E97">
      <w:pPr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包括科研成果（发表论文、主持/参与科研项目、专著、专利等）和其他表现（各类获奖情况等），具体得分说明如下表：</w:t>
      </w:r>
    </w:p>
    <w:p w14:paraId="2C71B399">
      <w:pPr>
        <w:snapToGrid w:val="0"/>
        <w:spacing w:line="360" w:lineRule="auto"/>
        <w:ind w:firstLine="562" w:firstLineChars="200"/>
        <w:jc w:val="center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材料</w:t>
      </w:r>
      <w:r>
        <w:rPr>
          <w:rFonts w:hint="eastAsia" w:ascii="仿宋_GB2312" w:hAnsi="仿宋" w:eastAsia="仿宋_GB2312"/>
          <w:b/>
          <w:bCs/>
          <w:kern w:val="0"/>
          <w:sz w:val="28"/>
          <w:szCs w:val="28"/>
        </w:rPr>
        <w:t>得分说明</w:t>
      </w:r>
    </w:p>
    <w:tbl>
      <w:tblPr>
        <w:tblStyle w:val="5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1356"/>
        <w:gridCol w:w="7017"/>
        <w:gridCol w:w="1470"/>
        <w:gridCol w:w="1470"/>
      </w:tblGrid>
      <w:tr w14:paraId="42A4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E960">
            <w:pPr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8"/>
                <w:szCs w:val="24"/>
              </w:rPr>
              <w:t>项目</w:t>
            </w: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23A5">
            <w:pPr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8"/>
                <w:szCs w:val="24"/>
              </w:rPr>
              <w:t>说明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7DE8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8"/>
                <w:szCs w:val="24"/>
                <w:lang w:eastAsia="zh-CN"/>
              </w:rPr>
              <w:t>评分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4F58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加分上限</w:t>
            </w:r>
          </w:p>
        </w:tc>
      </w:tr>
      <w:tr w14:paraId="01BE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5D754">
            <w:pPr>
              <w:widowControl/>
              <w:spacing w:line="240" w:lineRule="auto"/>
              <w:jc w:val="both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发表论文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</w:rPr>
              <w:t>以第一作者/共同第一作者发表的中英文论文</w:t>
            </w: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</w:rPr>
              <w:t>SCI论文必须是公开发表（含网络在线发表及接收函），中文核心期刊文</w:t>
            </w:r>
            <w:r>
              <w:rPr>
                <w:rFonts w:hint="eastAsia" w:ascii="仿宋_GB2312" w:hAnsi="仿宋" w:eastAsia="仿宋_GB2312"/>
                <w:b w:val="0"/>
                <w:bCs/>
                <w:kern w:val="0"/>
                <w:sz w:val="24"/>
              </w:rPr>
              <w:t>章必须正式发</w:t>
            </w:r>
            <w:r>
              <w:rPr>
                <w:rFonts w:hint="eastAsia" w:ascii="仿宋_GB2312" w:hAnsi="仿宋" w:eastAsia="仿宋_GB2312"/>
                <w:b w:val="0"/>
                <w:bCs w:val="0"/>
                <w:kern w:val="0"/>
                <w:sz w:val="24"/>
              </w:rPr>
              <w:t>表</w:t>
            </w:r>
            <w:r>
              <w:rPr>
                <w:rFonts w:hint="eastAsia" w:ascii="仿宋_GB2312" w:hAnsi="仿宋" w:eastAsia="仿宋_GB2312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C068">
            <w:pPr>
              <w:jc w:val="both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① 英文论文以JCR中收录目录为准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近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5年平均影响因子为准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8EEEF5">
            <w:pPr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20分/篇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1EA185">
            <w:pPr>
              <w:jc w:val="center"/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无上限</w:t>
            </w:r>
          </w:p>
        </w:tc>
      </w:tr>
      <w:tr w14:paraId="765E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85D43">
            <w:pPr>
              <w:jc w:val="both"/>
            </w:pP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C283">
            <w:pPr>
              <w:rPr>
                <w:rFonts w:hint="eastAsia" w:ascii="仿宋_GB2312" w:hAnsi="仿宋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② 中文论文以首都医科大学图书馆网站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公布的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中国科技核心期刊目录为准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查询网址：</w:t>
            </w:r>
            <w:r>
              <w:rPr>
                <w:rFonts w:ascii="仿宋_GB2312" w:hAnsi="仿宋" w:eastAsia="仿宋_GB2312"/>
                <w:kern w:val="0"/>
                <w:sz w:val="24"/>
              </w:rPr>
              <w:t>https://lib.ccmu.edu.cn/</w:t>
            </w: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8AE32">
            <w:pPr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分/篇</w:t>
            </w:r>
          </w:p>
        </w:tc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F441C">
            <w:pPr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</w:p>
        </w:tc>
      </w:tr>
      <w:tr w14:paraId="5115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26D8">
            <w:pPr>
              <w:jc w:val="both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9411">
            <w:pPr>
              <w:jc w:val="both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③ 其他非核心期刊及会议论文集</w:t>
            </w: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559D"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不加分</w:t>
            </w: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A952">
            <w:pPr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1BC1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15A1BD">
            <w:pPr>
              <w:widowControl/>
              <w:spacing w:line="240" w:lineRule="auto"/>
              <w:jc w:val="both"/>
              <w:rPr>
                <w:rFonts w:hint="eastAsia" w:ascii="仿宋_GB2312" w:hAnsi="仿宋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获批纵向科研课题申报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4E63">
            <w:pPr>
              <w:jc w:val="both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项目组成员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（获批项目计划书或任务书中有署名）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B05A">
            <w:pPr>
              <w:widowControl/>
              <w:spacing w:line="24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中心获批</w:t>
            </w:r>
            <w:bookmarkStart w:id="0" w:name="_GoBack"/>
            <w:bookmarkEnd w:id="0"/>
          </w:p>
          <w:p w14:paraId="78477EAC">
            <w:pPr>
              <w:widowControl/>
              <w:spacing w:line="240" w:lineRule="auto"/>
              <w:jc w:val="both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按照课题成员排名排序，第二名为5分，第三名4分，第四名3分，第五名2分，第六名及以后1分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05C7">
            <w:pPr>
              <w:widowControl/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5-1分/项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0FD802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无上限</w:t>
            </w:r>
          </w:p>
        </w:tc>
      </w:tr>
      <w:tr w14:paraId="36ED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AA08">
            <w:pPr>
              <w:jc w:val="both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4172">
            <w:pPr>
              <w:jc w:val="both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3B69">
            <w:pPr>
              <w:widowControl/>
              <w:spacing w:line="240" w:lineRule="auto"/>
              <w:jc w:val="both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承担其他课题子项目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按照课题成员排名排序，第二名3分，第三名2分，第四名及以后1分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EE12">
            <w:pPr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3-1分/项</w:t>
            </w: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56D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74B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ED2C">
            <w:pPr>
              <w:jc w:val="both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4"/>
              </w:rPr>
              <w:t>编译</w:t>
            </w: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4"/>
              </w:rPr>
              <w:t>专著</w:t>
            </w: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7AF4">
            <w:pPr>
              <w:jc w:val="both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304F">
            <w:pPr>
              <w:spacing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5分/篇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F43A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无上限</w:t>
            </w:r>
          </w:p>
        </w:tc>
      </w:tr>
      <w:tr w14:paraId="7E83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97B02A">
            <w:pPr>
              <w:jc w:val="both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8"/>
                <w:szCs w:val="24"/>
              </w:rPr>
              <w:t>发明专利</w:t>
            </w:r>
            <w:r>
              <w:rPr>
                <w:rFonts w:hint="eastAsia" w:ascii="仿宋_GB2312" w:hAnsi="仿宋" w:eastAsia="仿宋_GB2312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发明专利须与本人所在学科相关</w:t>
            </w:r>
            <w:r>
              <w:rPr>
                <w:rFonts w:hint="eastAsia" w:ascii="仿宋_GB2312" w:hAnsi="仿宋" w:eastAsia="仿宋_GB2312"/>
                <w:b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DD77">
            <w:pPr>
              <w:jc w:val="both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第一完成人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E295F">
            <w:pPr>
              <w:spacing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20分/项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2D4C8"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无上限</w:t>
            </w:r>
          </w:p>
        </w:tc>
      </w:tr>
      <w:tr w14:paraId="6875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E09E">
            <w:pPr>
              <w:jc w:val="both"/>
            </w:pP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ADB2">
            <w:pPr>
              <w:jc w:val="both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第二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至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第六完成人（获奖或专利证书中有署名）</w:t>
            </w: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7996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10分/项</w:t>
            </w: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3629">
            <w:pPr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38A4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268D0">
            <w:pPr>
              <w:jc w:val="both"/>
              <w:rPr>
                <w:rFonts w:ascii="仿宋_GB2312" w:hAnsi="仿宋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8"/>
                <w:szCs w:val="24"/>
              </w:rPr>
              <w:t>其他表现</w:t>
            </w: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组织或参与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学校、学院组织的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社团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、征文、比赛等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活动并获得相关证书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、社会任职及其他</w:t>
            </w: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9F8D">
            <w:pPr>
              <w:widowControl/>
              <w:spacing w:line="240" w:lineRule="auto"/>
              <w:jc w:val="both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获奖：一等奖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5分、二等奖4分、三等奖3分，其他奖项2分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7C35">
            <w:pPr>
              <w:spacing w:line="24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-2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分/项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4B1D8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  <w:lang w:val="en-US" w:eastAsia="zh-CN"/>
              </w:rPr>
              <w:t>上限10分</w:t>
            </w:r>
          </w:p>
        </w:tc>
      </w:tr>
      <w:tr w14:paraId="3118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9FCE3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3F2F">
            <w:pPr>
              <w:widowControl/>
              <w:spacing w:line="240" w:lineRule="auto"/>
              <w:jc w:val="both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组织：每项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DDA6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/项</w:t>
            </w:r>
          </w:p>
        </w:tc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A7EE0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</w:pPr>
          </w:p>
        </w:tc>
      </w:tr>
      <w:tr w14:paraId="620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E1EF8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2751">
            <w:pPr>
              <w:widowControl/>
              <w:spacing w:line="240" w:lineRule="auto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参与：每项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655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/项</w:t>
            </w:r>
          </w:p>
        </w:tc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0F10F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</w:pPr>
          </w:p>
        </w:tc>
      </w:tr>
      <w:tr w14:paraId="5C82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6CF18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3BB5">
            <w:pPr>
              <w:jc w:val="both"/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社会任职：每项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2分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BAB6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/项</w:t>
            </w: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CB57">
            <w:pPr>
              <w:jc w:val="center"/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</w:pPr>
          </w:p>
        </w:tc>
      </w:tr>
    </w:tbl>
    <w:p w14:paraId="4B829A6E">
      <w:pPr>
        <w:ind w:left="960" w:hanging="960" w:hangingChars="4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bCs/>
          <w:kern w:val="0"/>
          <w:sz w:val="24"/>
        </w:rPr>
        <w:t>备注：</w:t>
      </w:r>
      <w:r>
        <w:rPr>
          <w:rFonts w:hint="eastAsia" w:ascii="仿宋_GB2312" w:hAnsi="仿宋" w:eastAsia="仿宋_GB2312"/>
          <w:sz w:val="24"/>
          <w:szCs w:val="24"/>
        </w:rPr>
        <w:t>未按要求提交证明材料的项目，一律不予加分。</w:t>
      </w:r>
    </w:p>
    <w:p w14:paraId="205FA5BC">
      <w:pPr>
        <w:ind w:firstLine="720" w:firstLineChars="300"/>
        <w:rPr>
          <w:rFonts w:ascii="仿宋_GB2312" w:hAnsi="仿宋" w:eastAsia="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8F"/>
    <w:rsid w:val="00031603"/>
    <w:rsid w:val="00031714"/>
    <w:rsid w:val="000A5329"/>
    <w:rsid w:val="000A58C8"/>
    <w:rsid w:val="00127B6F"/>
    <w:rsid w:val="00170F85"/>
    <w:rsid w:val="00182CD7"/>
    <w:rsid w:val="001B0A3F"/>
    <w:rsid w:val="0020338D"/>
    <w:rsid w:val="00272217"/>
    <w:rsid w:val="002D3217"/>
    <w:rsid w:val="002E19E8"/>
    <w:rsid w:val="002E3293"/>
    <w:rsid w:val="003061E1"/>
    <w:rsid w:val="0036287C"/>
    <w:rsid w:val="003A2941"/>
    <w:rsid w:val="003B207C"/>
    <w:rsid w:val="00400146"/>
    <w:rsid w:val="00427452"/>
    <w:rsid w:val="004E695D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A0182"/>
    <w:rsid w:val="007B16BC"/>
    <w:rsid w:val="007B779F"/>
    <w:rsid w:val="007B788F"/>
    <w:rsid w:val="008679D1"/>
    <w:rsid w:val="00870E14"/>
    <w:rsid w:val="00895255"/>
    <w:rsid w:val="008A1885"/>
    <w:rsid w:val="008A4063"/>
    <w:rsid w:val="008C1ADE"/>
    <w:rsid w:val="008C57D3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550F2"/>
    <w:rsid w:val="00A61396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D3232F"/>
    <w:rsid w:val="00D90912"/>
    <w:rsid w:val="00DB7A95"/>
    <w:rsid w:val="00E32BBE"/>
    <w:rsid w:val="00E52030"/>
    <w:rsid w:val="00E54E6D"/>
    <w:rsid w:val="00E56211"/>
    <w:rsid w:val="00EE3D8E"/>
    <w:rsid w:val="00EF4A2E"/>
    <w:rsid w:val="00F15015"/>
    <w:rsid w:val="00F351C7"/>
    <w:rsid w:val="00F779CC"/>
    <w:rsid w:val="00FC1972"/>
    <w:rsid w:val="00FC4652"/>
    <w:rsid w:val="00FD74FD"/>
    <w:rsid w:val="00FF540D"/>
    <w:rsid w:val="0E5152CB"/>
    <w:rsid w:val="122E6CCC"/>
    <w:rsid w:val="2C6141B3"/>
    <w:rsid w:val="2F2D694B"/>
    <w:rsid w:val="353442E5"/>
    <w:rsid w:val="3DFE97CF"/>
    <w:rsid w:val="3E112BE8"/>
    <w:rsid w:val="407A26C6"/>
    <w:rsid w:val="430B5DB7"/>
    <w:rsid w:val="50836542"/>
    <w:rsid w:val="51090937"/>
    <w:rsid w:val="557E2826"/>
    <w:rsid w:val="731D565E"/>
    <w:rsid w:val="7793B9F0"/>
    <w:rsid w:val="E66EF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722</Characters>
  <Lines>3</Lines>
  <Paragraphs>1</Paragraphs>
  <TotalTime>6</TotalTime>
  <ScaleCrop>false</ScaleCrop>
  <LinksUpToDate>false</LinksUpToDate>
  <CharactersWithSpaces>727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2020-10-21T02:22:00Z</dcterms:created>
  <dc:creator>王 霄</dc:creator>
  <cp:lastModifiedBy>小妖</cp:lastModifiedBy>
  <dcterms:modified xsi:type="dcterms:W3CDTF">2026-05-15T04:46:15Z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eyJoZGlkIjoiZTNlYWJiMDAwOWZiNzE4YjkzMjZmZjJmMGYxOTYxYTAiLCJ1c2VySWQiOiI0NzY4MTIwMzcifQ==</vt:lpwstr>
  </property>
  <property fmtid="{D5CDD505-2E9C-101B-9397-08002B2CF9AE}" pid="4" name="ICV">
    <vt:lpwstr>E34875093B64405B93B41D2220F391C7_12</vt:lpwstr>
  </property>
</Properties>
</file>